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7" w:rsidRDefault="00207CA2" w:rsidP="00E6245C">
      <w:pPr>
        <w:pStyle w:val="naislab"/>
        <w:tabs>
          <w:tab w:val="left" w:pos="9071"/>
        </w:tabs>
        <w:spacing w:before="0" w:after="0"/>
        <w:jc w:val="center"/>
        <w:outlineLvl w:val="0"/>
        <w:rPr>
          <w:b/>
          <w:sz w:val="28"/>
          <w:szCs w:val="28"/>
        </w:rPr>
      </w:pPr>
      <w:r>
        <w:rPr>
          <w:b/>
          <w:sz w:val="28"/>
          <w:szCs w:val="28"/>
        </w:rPr>
        <w:t>Likum</w:t>
      </w:r>
      <w:r w:rsidRPr="007C0F2C">
        <w:rPr>
          <w:b/>
          <w:sz w:val="28"/>
          <w:szCs w:val="28"/>
        </w:rPr>
        <w:t xml:space="preserve">projekta </w:t>
      </w:r>
    </w:p>
    <w:p w:rsidR="00207CA2" w:rsidRDefault="00207CA2" w:rsidP="00207CA2">
      <w:pPr>
        <w:pStyle w:val="naislab"/>
        <w:spacing w:before="0" w:after="0"/>
        <w:jc w:val="center"/>
        <w:outlineLvl w:val="0"/>
        <w:rPr>
          <w:b/>
          <w:sz w:val="28"/>
          <w:szCs w:val="28"/>
        </w:rPr>
      </w:pPr>
      <w:r>
        <w:rPr>
          <w:b/>
          <w:sz w:val="28"/>
          <w:szCs w:val="28"/>
        </w:rPr>
        <w:t>„Grozījum</w:t>
      </w:r>
      <w:r w:rsidR="00BC44B7">
        <w:rPr>
          <w:b/>
          <w:sz w:val="28"/>
          <w:szCs w:val="28"/>
        </w:rPr>
        <w:t>i</w:t>
      </w:r>
      <w:r w:rsidR="00F9415F">
        <w:rPr>
          <w:b/>
          <w:sz w:val="28"/>
          <w:szCs w:val="28"/>
        </w:rPr>
        <w:t xml:space="preserve"> Valsts un pašvaldību institūciju amatpersonu un darbinieku atlīdzības likumā</w:t>
      </w:r>
      <w:r>
        <w:rPr>
          <w:b/>
          <w:sz w:val="28"/>
          <w:szCs w:val="28"/>
        </w:rPr>
        <w:t>”</w:t>
      </w:r>
    </w:p>
    <w:p w:rsidR="00207CA2" w:rsidRPr="000410C7" w:rsidRDefault="00207CA2" w:rsidP="00207CA2">
      <w:pPr>
        <w:pStyle w:val="naislab"/>
        <w:spacing w:before="0" w:after="0"/>
        <w:jc w:val="center"/>
        <w:outlineLvl w:val="0"/>
        <w:rPr>
          <w:b/>
          <w:sz w:val="28"/>
          <w:szCs w:val="28"/>
        </w:rPr>
      </w:pPr>
      <w:r w:rsidRPr="000410C7">
        <w:rPr>
          <w:b/>
          <w:sz w:val="28"/>
          <w:szCs w:val="28"/>
        </w:rPr>
        <w:t xml:space="preserve">sākotnējās ietekmes novērtējuma </w:t>
      </w:r>
      <w:smartTag w:uri="schemas-tilde-lv/tildestengine" w:element="veidnes">
        <w:smartTagPr>
          <w:attr w:name="text" w:val="ziņojums"/>
          <w:attr w:name="baseform" w:val="ziņojums"/>
          <w:attr w:name="id" w:val="-1"/>
        </w:smartTagPr>
        <w:r w:rsidRPr="000410C7">
          <w:rPr>
            <w:b/>
            <w:sz w:val="28"/>
            <w:szCs w:val="28"/>
          </w:rPr>
          <w:t>ziņojums</w:t>
        </w:r>
      </w:smartTag>
      <w:r w:rsidRPr="000410C7">
        <w:rPr>
          <w:b/>
          <w:sz w:val="28"/>
          <w:szCs w:val="28"/>
        </w:rPr>
        <w:t xml:space="preserve"> (anotācija)</w:t>
      </w:r>
    </w:p>
    <w:tbl>
      <w:tblPr>
        <w:tblpPr w:leftFromText="180" w:rightFromText="180" w:vertAnchor="text" w:horzAnchor="margin" w:tblpXSpec="center" w:tblpY="149"/>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1"/>
        <w:gridCol w:w="1629"/>
        <w:gridCol w:w="7641"/>
      </w:tblGrid>
      <w:tr w:rsidR="00207CA2" w:rsidRPr="00C36F1F" w:rsidTr="009E181A">
        <w:tc>
          <w:tcPr>
            <w:tcW w:w="10051" w:type="dxa"/>
            <w:gridSpan w:val="3"/>
            <w:vAlign w:val="center"/>
          </w:tcPr>
          <w:p w:rsidR="00207CA2" w:rsidRPr="00C36F1F" w:rsidRDefault="00207CA2" w:rsidP="009B6E5F">
            <w:pPr>
              <w:pStyle w:val="naisnod"/>
              <w:spacing w:before="0" w:after="0"/>
              <w:rPr>
                <w:sz w:val="26"/>
                <w:szCs w:val="26"/>
              </w:rPr>
            </w:pPr>
            <w:r w:rsidRPr="00C36F1F">
              <w:rPr>
                <w:sz w:val="26"/>
                <w:szCs w:val="26"/>
              </w:rPr>
              <w:t>I. Tiesību akta projekta izstrādes nepieciešamība</w:t>
            </w:r>
          </w:p>
        </w:tc>
      </w:tr>
      <w:tr w:rsidR="00207CA2" w:rsidRPr="00C36F1F" w:rsidTr="009E181A">
        <w:trPr>
          <w:trHeight w:val="630"/>
        </w:trPr>
        <w:tc>
          <w:tcPr>
            <w:tcW w:w="781" w:type="dxa"/>
          </w:tcPr>
          <w:p w:rsidR="00207CA2" w:rsidRPr="00C36F1F" w:rsidRDefault="00207CA2" w:rsidP="00FB2F9B">
            <w:pPr>
              <w:pStyle w:val="naiskr"/>
              <w:spacing w:before="0" w:after="0"/>
              <w:jc w:val="both"/>
              <w:rPr>
                <w:sz w:val="26"/>
                <w:szCs w:val="26"/>
              </w:rPr>
            </w:pPr>
            <w:r w:rsidRPr="00C36F1F">
              <w:rPr>
                <w:sz w:val="26"/>
                <w:szCs w:val="26"/>
              </w:rPr>
              <w:t>1.</w:t>
            </w:r>
          </w:p>
        </w:tc>
        <w:tc>
          <w:tcPr>
            <w:tcW w:w="1629" w:type="dxa"/>
          </w:tcPr>
          <w:p w:rsidR="00207CA2" w:rsidRPr="00C36F1F" w:rsidRDefault="00207CA2" w:rsidP="00FB2F9B">
            <w:pPr>
              <w:pStyle w:val="naiskr"/>
              <w:spacing w:before="0" w:after="0"/>
              <w:ind w:hanging="10"/>
              <w:jc w:val="both"/>
              <w:rPr>
                <w:sz w:val="26"/>
                <w:szCs w:val="26"/>
              </w:rPr>
            </w:pPr>
            <w:r w:rsidRPr="00C36F1F">
              <w:rPr>
                <w:sz w:val="26"/>
                <w:szCs w:val="26"/>
              </w:rPr>
              <w:t>Pamatojums</w:t>
            </w:r>
          </w:p>
        </w:tc>
        <w:tc>
          <w:tcPr>
            <w:tcW w:w="7641" w:type="dxa"/>
          </w:tcPr>
          <w:p w:rsidR="00207CA2" w:rsidRDefault="005354BC" w:rsidP="00590EC5">
            <w:pPr>
              <w:pStyle w:val="naiskr"/>
              <w:spacing w:before="0" w:after="0"/>
              <w:jc w:val="both"/>
              <w:rPr>
                <w:sz w:val="26"/>
                <w:szCs w:val="26"/>
              </w:rPr>
            </w:pPr>
            <w:r w:rsidRPr="00590EC5">
              <w:rPr>
                <w:sz w:val="26"/>
                <w:szCs w:val="26"/>
              </w:rPr>
              <w:t>Likumprojekts izstrādāts atbilstoši</w:t>
            </w:r>
            <w:r w:rsidR="00590EC5">
              <w:rPr>
                <w:sz w:val="26"/>
                <w:szCs w:val="26"/>
              </w:rPr>
              <w:t xml:space="preserve"> </w:t>
            </w:r>
            <w:r w:rsidR="00590EC5" w:rsidRPr="00590EC5">
              <w:rPr>
                <w:sz w:val="26"/>
                <w:szCs w:val="26"/>
              </w:rPr>
              <w:t xml:space="preserve">Ministru kabineta 2012.gada </w:t>
            </w:r>
            <w:r w:rsidR="00590EC5">
              <w:rPr>
                <w:sz w:val="26"/>
                <w:szCs w:val="26"/>
              </w:rPr>
              <w:t>17</w:t>
            </w:r>
            <w:r w:rsidR="00590EC5" w:rsidRPr="00590EC5">
              <w:rPr>
                <w:sz w:val="26"/>
                <w:szCs w:val="26"/>
              </w:rPr>
              <w:t xml:space="preserve">.aprīļa  sēdē nolemtajam </w:t>
            </w:r>
            <w:r w:rsidR="00590EC5">
              <w:rPr>
                <w:sz w:val="26"/>
                <w:szCs w:val="26"/>
              </w:rPr>
              <w:t>(</w:t>
            </w:r>
            <w:r w:rsidR="00590EC5" w:rsidRPr="00590EC5">
              <w:rPr>
                <w:sz w:val="26"/>
                <w:szCs w:val="26"/>
              </w:rPr>
              <w:t>protokols Nr.2</w:t>
            </w:r>
            <w:r w:rsidR="00590EC5">
              <w:rPr>
                <w:sz w:val="26"/>
                <w:szCs w:val="26"/>
              </w:rPr>
              <w:t>0</w:t>
            </w:r>
            <w:r w:rsidR="00590EC5" w:rsidRPr="00590EC5">
              <w:rPr>
                <w:sz w:val="26"/>
                <w:szCs w:val="26"/>
              </w:rPr>
              <w:t xml:space="preserve"> 38.§</w:t>
            </w:r>
            <w:r w:rsidRPr="00590EC5">
              <w:rPr>
                <w:sz w:val="26"/>
                <w:szCs w:val="26"/>
              </w:rPr>
              <w:t xml:space="preserve"> </w:t>
            </w:r>
            <w:r w:rsidR="00590EC5">
              <w:rPr>
                <w:sz w:val="26"/>
                <w:szCs w:val="26"/>
              </w:rPr>
              <w:t xml:space="preserve">8.punkts) un </w:t>
            </w:r>
            <w:r w:rsidR="005D4608" w:rsidRPr="00590EC5">
              <w:rPr>
                <w:sz w:val="26"/>
                <w:szCs w:val="26"/>
              </w:rPr>
              <w:t>Ministru kabineta 2012.gada 24.aprīļa sēdē nolemta</w:t>
            </w:r>
            <w:r w:rsidRPr="00590EC5">
              <w:rPr>
                <w:sz w:val="26"/>
                <w:szCs w:val="26"/>
              </w:rPr>
              <w:t>jam</w:t>
            </w:r>
            <w:r w:rsidR="005D4608" w:rsidRPr="00590EC5">
              <w:rPr>
                <w:sz w:val="26"/>
                <w:szCs w:val="26"/>
              </w:rPr>
              <w:t xml:space="preserve"> (protokols Nr.22 53.§)</w:t>
            </w:r>
            <w:r w:rsidR="00BB56C0">
              <w:rPr>
                <w:sz w:val="26"/>
                <w:szCs w:val="26"/>
              </w:rPr>
              <w:t>,</w:t>
            </w:r>
            <w:r w:rsidRPr="00590EC5">
              <w:rPr>
                <w:sz w:val="26"/>
                <w:szCs w:val="26"/>
              </w:rPr>
              <w:t xml:space="preserve"> </w:t>
            </w:r>
            <w:r w:rsidR="00BB56C0">
              <w:rPr>
                <w:sz w:val="26"/>
                <w:szCs w:val="26"/>
              </w:rPr>
              <w:t xml:space="preserve"> </w:t>
            </w:r>
            <w:r w:rsidR="00BB56C0" w:rsidRPr="000D1D5A">
              <w:rPr>
                <w:sz w:val="26"/>
                <w:szCs w:val="26"/>
              </w:rPr>
              <w:t xml:space="preserve">kā arī 2012.gada 16.augusta sēdē nolemtajam (protokols Nr.46 22.§ 3.punkts), </w:t>
            </w:r>
            <w:r w:rsidRPr="000D1D5A">
              <w:rPr>
                <w:sz w:val="26"/>
                <w:szCs w:val="26"/>
              </w:rPr>
              <w:t>kas paredz uzdevumu Finanšu ministrijai izstrādāt un iesniegt grozījumus</w:t>
            </w:r>
            <w:r w:rsidRPr="00590EC5">
              <w:rPr>
                <w:sz w:val="26"/>
                <w:szCs w:val="26"/>
              </w:rPr>
              <w:t xml:space="preserve"> Valsts un pašvaldību institūciju amatpersonu un darbinieku atlīdzības likumā</w:t>
            </w:r>
            <w:r w:rsidR="00310B09" w:rsidRPr="00590EC5">
              <w:rPr>
                <w:sz w:val="26"/>
                <w:szCs w:val="26"/>
              </w:rPr>
              <w:t xml:space="preserve"> (turpmāk – atlīdzības likums)</w:t>
            </w:r>
            <w:r w:rsidRPr="00590EC5">
              <w:rPr>
                <w:sz w:val="26"/>
                <w:szCs w:val="26"/>
              </w:rPr>
              <w:t>.</w:t>
            </w:r>
            <w:r w:rsidR="00627212">
              <w:rPr>
                <w:sz w:val="26"/>
                <w:szCs w:val="26"/>
              </w:rPr>
              <w:t xml:space="preserve"> </w:t>
            </w:r>
          </w:p>
          <w:p w:rsidR="00931683" w:rsidRPr="00C36F1F" w:rsidRDefault="00931683" w:rsidP="005F361E">
            <w:pPr>
              <w:pStyle w:val="naiskr"/>
              <w:spacing w:before="0" w:after="0"/>
              <w:jc w:val="both"/>
              <w:rPr>
                <w:sz w:val="26"/>
                <w:szCs w:val="26"/>
              </w:rPr>
            </w:pPr>
            <w:r>
              <w:rPr>
                <w:sz w:val="26"/>
                <w:szCs w:val="26"/>
              </w:rPr>
              <w:t>Tā kā likumprojektā ietvertie jautājumi skar 2013.gada budžetu, likumprojekts virzāms likumpro</w:t>
            </w:r>
            <w:r w:rsidR="005F361E">
              <w:rPr>
                <w:sz w:val="26"/>
                <w:szCs w:val="26"/>
              </w:rPr>
              <w:t>j</w:t>
            </w:r>
            <w:r>
              <w:rPr>
                <w:sz w:val="26"/>
                <w:szCs w:val="26"/>
              </w:rPr>
              <w:t>e</w:t>
            </w:r>
            <w:r w:rsidR="005F361E">
              <w:rPr>
                <w:sz w:val="26"/>
                <w:szCs w:val="26"/>
              </w:rPr>
              <w:t>k</w:t>
            </w:r>
            <w:r>
              <w:rPr>
                <w:sz w:val="26"/>
                <w:szCs w:val="26"/>
              </w:rPr>
              <w:t>ta „Par valsts budžetu 2013.gadam” paketē.</w:t>
            </w:r>
          </w:p>
        </w:tc>
      </w:tr>
      <w:tr w:rsidR="00207CA2" w:rsidRPr="00C36F1F" w:rsidTr="009E181A">
        <w:trPr>
          <w:trHeight w:val="472"/>
        </w:trPr>
        <w:tc>
          <w:tcPr>
            <w:tcW w:w="781" w:type="dxa"/>
          </w:tcPr>
          <w:p w:rsidR="00207CA2" w:rsidRPr="00C36F1F" w:rsidRDefault="00207CA2" w:rsidP="00FB2F9B">
            <w:pPr>
              <w:pStyle w:val="naiskr"/>
              <w:spacing w:before="0" w:after="0"/>
              <w:jc w:val="both"/>
              <w:rPr>
                <w:sz w:val="26"/>
                <w:szCs w:val="26"/>
              </w:rPr>
            </w:pPr>
            <w:r w:rsidRPr="00C36F1F">
              <w:rPr>
                <w:sz w:val="26"/>
                <w:szCs w:val="26"/>
              </w:rPr>
              <w:t>2.</w:t>
            </w:r>
          </w:p>
        </w:tc>
        <w:tc>
          <w:tcPr>
            <w:tcW w:w="1629" w:type="dxa"/>
          </w:tcPr>
          <w:p w:rsidR="00CC0BF6" w:rsidRPr="00C36F1F" w:rsidRDefault="00CC0BF6" w:rsidP="00FB2F9B">
            <w:pPr>
              <w:pStyle w:val="naiskr"/>
              <w:tabs>
                <w:tab w:val="left" w:pos="170"/>
              </w:tabs>
              <w:spacing w:before="0" w:after="0"/>
              <w:jc w:val="both"/>
              <w:rPr>
                <w:sz w:val="26"/>
                <w:szCs w:val="26"/>
              </w:rPr>
            </w:pPr>
            <w:r w:rsidRPr="00C36F1F">
              <w:rPr>
                <w:sz w:val="26"/>
                <w:szCs w:val="26"/>
              </w:rPr>
              <w:t>Pašreizējā situācija un</w:t>
            </w:r>
          </w:p>
          <w:p w:rsidR="00207CA2" w:rsidRPr="00C36F1F" w:rsidRDefault="00207CA2" w:rsidP="00FB2F9B">
            <w:pPr>
              <w:pStyle w:val="naiskr"/>
              <w:tabs>
                <w:tab w:val="left" w:pos="170"/>
              </w:tabs>
              <w:spacing w:before="0" w:after="0"/>
              <w:jc w:val="both"/>
              <w:rPr>
                <w:sz w:val="26"/>
                <w:szCs w:val="26"/>
              </w:rPr>
            </w:pPr>
            <w:r w:rsidRPr="00C36F1F">
              <w:rPr>
                <w:sz w:val="26"/>
                <w:szCs w:val="26"/>
              </w:rPr>
              <w:t>problēmas</w:t>
            </w:r>
          </w:p>
        </w:tc>
        <w:tc>
          <w:tcPr>
            <w:tcW w:w="7641" w:type="dxa"/>
          </w:tcPr>
          <w:p w:rsidR="00997420" w:rsidRDefault="005354BC" w:rsidP="00997420">
            <w:pPr>
              <w:pStyle w:val="naisf"/>
              <w:tabs>
                <w:tab w:val="num" w:pos="360"/>
                <w:tab w:val="left" w:pos="900"/>
              </w:tabs>
              <w:spacing w:before="0" w:after="0"/>
              <w:ind w:firstLine="634"/>
              <w:rPr>
                <w:sz w:val="26"/>
                <w:szCs w:val="26"/>
              </w:rPr>
            </w:pPr>
            <w:r w:rsidRPr="00C36F1F">
              <w:rPr>
                <w:sz w:val="26"/>
                <w:szCs w:val="26"/>
              </w:rPr>
              <w:t xml:space="preserve">Šobrīd </w:t>
            </w:r>
            <w:r w:rsidR="002167F5" w:rsidRPr="00C36F1F">
              <w:rPr>
                <w:sz w:val="26"/>
                <w:szCs w:val="26"/>
              </w:rPr>
              <w:t xml:space="preserve">atlīdzības </w:t>
            </w:r>
            <w:r w:rsidRPr="00C36F1F">
              <w:rPr>
                <w:sz w:val="26"/>
                <w:szCs w:val="26"/>
              </w:rPr>
              <w:t xml:space="preserve">likumā noteikts, ka vēlēto amatpersonu atlīdzības noteikšanā tiek piemērots Centrālās statistikas pārvaldes (turpmāk – CSP) oficiālajā statistikas paziņojumā publicētais valstī strādājošo aizpagājušā gada mēneša vidējās darba samaksas apmērs, kuram tiek piemērots koeficients. Ar likuma pārejas noteikumiem piemērojamais CSP rādītājs 2012.gadā ir iesaldēts un noteikts 2009.gada 1.pusgada līmenī. </w:t>
            </w:r>
            <w:r w:rsidR="00997420" w:rsidRPr="00997420">
              <w:rPr>
                <w:sz w:val="26"/>
                <w:szCs w:val="26"/>
              </w:rPr>
              <w:t xml:space="preserve"> </w:t>
            </w:r>
          </w:p>
          <w:p w:rsidR="00997420" w:rsidRPr="00997420" w:rsidRDefault="00997420" w:rsidP="00997420">
            <w:pPr>
              <w:pStyle w:val="naisf"/>
              <w:tabs>
                <w:tab w:val="num" w:pos="360"/>
                <w:tab w:val="left" w:pos="900"/>
              </w:tabs>
              <w:spacing w:before="0" w:after="0"/>
              <w:ind w:firstLine="634"/>
              <w:rPr>
                <w:sz w:val="26"/>
                <w:szCs w:val="26"/>
              </w:rPr>
            </w:pPr>
            <w:r w:rsidRPr="00997420">
              <w:rPr>
                <w:sz w:val="26"/>
                <w:szCs w:val="26"/>
              </w:rPr>
              <w:t>Nacionālās elektronisko plašsaziņas līdzekļu padomes kompetencē ir nodrošināt sociāli nozīmīgas informācijas vispārēju pieejamību un netraucētu brīvas, demokrātiskas diskusijas uzturēšanu un attīstību. Lai nodrošinātu iepriekšminēto funkciju sekmīgu īstenošanu</w:t>
            </w:r>
            <w:r>
              <w:rPr>
                <w:sz w:val="26"/>
                <w:szCs w:val="26"/>
              </w:rPr>
              <w:t>,</w:t>
            </w:r>
            <w:r w:rsidRPr="00997420">
              <w:rPr>
                <w:sz w:val="26"/>
                <w:szCs w:val="26"/>
              </w:rPr>
              <w:t xml:space="preserve"> nepieciešams nodrošināt Nacionālās elektronisko plašsaziņas līdzekļu padomes locekļiem konkurētspējīgu atalgojumu.</w:t>
            </w:r>
          </w:p>
          <w:p w:rsidR="00EF6BD5" w:rsidRPr="00C36F1F" w:rsidRDefault="002167F5" w:rsidP="001B007D">
            <w:pPr>
              <w:pStyle w:val="naisf"/>
              <w:tabs>
                <w:tab w:val="num" w:pos="360"/>
                <w:tab w:val="left" w:pos="900"/>
              </w:tabs>
              <w:spacing w:before="0" w:after="0"/>
              <w:ind w:firstLine="634"/>
              <w:rPr>
                <w:sz w:val="26"/>
                <w:szCs w:val="26"/>
              </w:rPr>
            </w:pPr>
            <w:r w:rsidRPr="00C36F1F">
              <w:rPr>
                <w:sz w:val="26"/>
                <w:szCs w:val="26"/>
              </w:rPr>
              <w:t>Atlīdzības l</w:t>
            </w:r>
            <w:r w:rsidR="00EF6BD5" w:rsidRPr="00C36F1F">
              <w:rPr>
                <w:sz w:val="26"/>
                <w:szCs w:val="26"/>
              </w:rPr>
              <w:t>ikums 2012.gadā nosaka iespēju izmaksāt prēmiju atsevišķ</w:t>
            </w:r>
            <w:r w:rsidR="008402CA">
              <w:rPr>
                <w:sz w:val="26"/>
                <w:szCs w:val="26"/>
              </w:rPr>
              <w:t>u valsts institūciju nodarbinātajiem</w:t>
            </w:r>
            <w:r w:rsidR="00EF6BD5" w:rsidRPr="00C36F1F">
              <w:rPr>
                <w:sz w:val="26"/>
                <w:szCs w:val="26"/>
              </w:rPr>
              <w:t>, k</w:t>
            </w:r>
            <w:r w:rsidR="008402CA">
              <w:rPr>
                <w:sz w:val="26"/>
                <w:szCs w:val="26"/>
              </w:rPr>
              <w:t>uri</w:t>
            </w:r>
            <w:r w:rsidR="00EF6BD5" w:rsidRPr="00C36F1F">
              <w:rPr>
                <w:sz w:val="26"/>
                <w:szCs w:val="26"/>
              </w:rPr>
              <w:t xml:space="preserve"> ir iesaistīt</w:t>
            </w:r>
            <w:r w:rsidR="008402CA">
              <w:rPr>
                <w:sz w:val="26"/>
                <w:szCs w:val="26"/>
              </w:rPr>
              <w:t>i</w:t>
            </w:r>
            <w:r w:rsidR="00EF6BD5" w:rsidRPr="00C36F1F">
              <w:rPr>
                <w:sz w:val="26"/>
                <w:szCs w:val="26"/>
              </w:rPr>
              <w:t xml:space="preserve"> ēnu ekonomikas apkarošanas pasākumu īstenošanā</w:t>
            </w:r>
            <w:r w:rsidR="008402CA">
              <w:rPr>
                <w:sz w:val="26"/>
                <w:szCs w:val="26"/>
              </w:rPr>
              <w:t>,</w:t>
            </w:r>
            <w:r w:rsidR="008402CA">
              <w:t xml:space="preserve"> </w:t>
            </w:r>
            <w:r w:rsidR="008402CA" w:rsidRPr="008402CA">
              <w:rPr>
                <w:sz w:val="26"/>
                <w:szCs w:val="26"/>
              </w:rPr>
              <w:t>ja viņu darbības rezultātā ir būtiski uzlabota situācija ēnu ekonomikas apkarošanā un g</w:t>
            </w:r>
            <w:r w:rsidR="008402CA">
              <w:rPr>
                <w:sz w:val="26"/>
                <w:szCs w:val="26"/>
              </w:rPr>
              <w:t>odīgas konkurences veicināšanā.</w:t>
            </w:r>
            <w:r w:rsidR="008132EE">
              <w:rPr>
                <w:sz w:val="26"/>
                <w:szCs w:val="26"/>
              </w:rPr>
              <w:t xml:space="preserve"> </w:t>
            </w:r>
            <w:r w:rsidR="008402CA">
              <w:rPr>
                <w:sz w:val="26"/>
                <w:szCs w:val="26"/>
              </w:rPr>
              <w:t xml:space="preserve">Ņemot vērā jautājuma aktualitāti,  </w:t>
            </w:r>
            <w:r w:rsidR="00EF6BD5" w:rsidRPr="00C36F1F">
              <w:rPr>
                <w:sz w:val="26"/>
                <w:szCs w:val="26"/>
              </w:rPr>
              <w:t xml:space="preserve">nepieciešams </w:t>
            </w:r>
            <w:r w:rsidR="008402CA">
              <w:rPr>
                <w:sz w:val="26"/>
                <w:szCs w:val="26"/>
              </w:rPr>
              <w:t xml:space="preserve">paredzēt šādu </w:t>
            </w:r>
            <w:r w:rsidR="00EF6BD5" w:rsidRPr="00C36F1F">
              <w:rPr>
                <w:sz w:val="26"/>
                <w:szCs w:val="26"/>
              </w:rPr>
              <w:t>norm</w:t>
            </w:r>
            <w:r w:rsidR="008402CA">
              <w:rPr>
                <w:sz w:val="26"/>
                <w:szCs w:val="26"/>
              </w:rPr>
              <w:t>u</w:t>
            </w:r>
            <w:r w:rsidR="00EF6BD5" w:rsidRPr="00C36F1F">
              <w:rPr>
                <w:sz w:val="26"/>
                <w:szCs w:val="26"/>
              </w:rPr>
              <w:t xml:space="preserve"> arī 2013.gad</w:t>
            </w:r>
            <w:r w:rsidR="008402CA">
              <w:rPr>
                <w:sz w:val="26"/>
                <w:szCs w:val="26"/>
              </w:rPr>
              <w:t>ā</w:t>
            </w:r>
            <w:r w:rsidR="00EF6BD5" w:rsidRPr="00C36F1F">
              <w:rPr>
                <w:sz w:val="26"/>
                <w:szCs w:val="26"/>
              </w:rPr>
              <w:t xml:space="preserve">. </w:t>
            </w:r>
          </w:p>
          <w:p w:rsidR="00006A92" w:rsidRPr="009A2270" w:rsidRDefault="008132EE" w:rsidP="001B007D">
            <w:pPr>
              <w:pStyle w:val="naisf"/>
              <w:tabs>
                <w:tab w:val="num" w:pos="360"/>
                <w:tab w:val="left" w:pos="900"/>
              </w:tabs>
              <w:spacing w:before="0" w:after="0"/>
              <w:ind w:firstLine="634"/>
              <w:rPr>
                <w:sz w:val="26"/>
                <w:szCs w:val="26"/>
              </w:rPr>
            </w:pPr>
            <w:r>
              <w:rPr>
                <w:sz w:val="26"/>
                <w:szCs w:val="26"/>
              </w:rPr>
              <w:t xml:space="preserve">Lai nodrošinātu </w:t>
            </w:r>
            <w:r>
              <w:t xml:space="preserve"> </w:t>
            </w:r>
            <w:r w:rsidRPr="008132EE">
              <w:rPr>
                <w:sz w:val="26"/>
                <w:szCs w:val="26"/>
              </w:rPr>
              <w:t>efektīvu valsts parāda vadību</w:t>
            </w:r>
            <w:r>
              <w:rPr>
                <w:sz w:val="26"/>
                <w:szCs w:val="26"/>
              </w:rPr>
              <w:t>,</w:t>
            </w:r>
            <w:r w:rsidRPr="008132EE">
              <w:rPr>
                <w:sz w:val="26"/>
                <w:szCs w:val="26"/>
              </w:rPr>
              <w:t xml:space="preserve"> 2013.gadā </w:t>
            </w:r>
            <w:r>
              <w:rPr>
                <w:sz w:val="26"/>
                <w:szCs w:val="26"/>
              </w:rPr>
              <w:t xml:space="preserve">nepieciešams paredzēt </w:t>
            </w:r>
            <w:r w:rsidRPr="008132EE">
              <w:rPr>
                <w:sz w:val="26"/>
                <w:szCs w:val="26"/>
              </w:rPr>
              <w:t>iespēj</w:t>
            </w:r>
            <w:r>
              <w:rPr>
                <w:sz w:val="26"/>
                <w:szCs w:val="26"/>
              </w:rPr>
              <w:t>u</w:t>
            </w:r>
            <w:r w:rsidRPr="008132EE">
              <w:rPr>
                <w:sz w:val="26"/>
                <w:szCs w:val="26"/>
              </w:rPr>
              <w:t xml:space="preserve"> prēmēt Valsts kases amatpersonas (</w:t>
            </w:r>
            <w:r w:rsidRPr="009A2270">
              <w:rPr>
                <w:sz w:val="26"/>
                <w:szCs w:val="26"/>
              </w:rPr>
              <w:t>darbiniekus) par ieguldījumu  valsts budžeta izdevumu samazināšanā, nodrošinot valsts parāda vadību.</w:t>
            </w:r>
            <w:r w:rsidR="00195D2E" w:rsidRPr="009A2270">
              <w:rPr>
                <w:sz w:val="26"/>
                <w:szCs w:val="26"/>
              </w:rPr>
              <w:t xml:space="preserve">  </w:t>
            </w:r>
          </w:p>
          <w:p w:rsidR="008865D9" w:rsidRPr="009A2270" w:rsidRDefault="008865D9" w:rsidP="008865D9">
            <w:pPr>
              <w:pStyle w:val="naisf"/>
              <w:tabs>
                <w:tab w:val="num" w:pos="360"/>
                <w:tab w:val="left" w:pos="900"/>
              </w:tabs>
              <w:spacing w:before="0" w:after="0"/>
              <w:ind w:firstLine="634"/>
              <w:rPr>
                <w:sz w:val="26"/>
                <w:szCs w:val="26"/>
              </w:rPr>
            </w:pPr>
            <w:r w:rsidRPr="009A2270">
              <w:rPr>
                <w:sz w:val="26"/>
                <w:szCs w:val="26"/>
              </w:rPr>
              <w:t>2012.gadā ir noteikts aizliegums izmaksāt prēmijas</w:t>
            </w:r>
            <w:r w:rsidRPr="009A2270">
              <w:t xml:space="preserve"> v</w:t>
            </w:r>
            <w:r w:rsidRPr="009A2270">
              <w:rPr>
                <w:sz w:val="26"/>
                <w:szCs w:val="26"/>
              </w:rPr>
              <w:t>alsts un pašvaldību institūciju amatpersonām un darbiniekiem</w:t>
            </w:r>
            <w:r w:rsidR="000D1D5A" w:rsidRPr="009A2270">
              <w:rPr>
                <w:sz w:val="26"/>
                <w:szCs w:val="26"/>
              </w:rPr>
              <w:t>,</w:t>
            </w:r>
            <w:r w:rsidRPr="009A2270">
              <w:rPr>
                <w:sz w:val="26"/>
                <w:szCs w:val="26"/>
              </w:rPr>
              <w:t xml:space="preserve"> izņemot atsevišķu likuma pārejas noteikumos noteiktu institūciju amatpersonām un darbiniekiem</w:t>
            </w:r>
            <w:r w:rsidR="000D1D5A" w:rsidRPr="009A2270">
              <w:rPr>
                <w:sz w:val="26"/>
                <w:szCs w:val="26"/>
              </w:rPr>
              <w:t>, kā arī likuma 16.panta trešajā daļā noteiktajos gadījumos –par drošsirdīgu un pašaizliedzīgu rīcību, nozieguma novēršanu vai atklāšanu</w:t>
            </w:r>
            <w:r w:rsidRPr="009A2270">
              <w:rPr>
                <w:sz w:val="26"/>
                <w:szCs w:val="26"/>
              </w:rPr>
              <w:t xml:space="preserve">. Lai </w:t>
            </w:r>
            <w:r w:rsidR="006B032D" w:rsidRPr="009A2270">
              <w:rPr>
                <w:sz w:val="26"/>
                <w:szCs w:val="26"/>
              </w:rPr>
              <w:t xml:space="preserve">2013.gadā </w:t>
            </w:r>
            <w:r w:rsidR="000D1D5A" w:rsidRPr="009A2270">
              <w:rPr>
                <w:sz w:val="26"/>
                <w:szCs w:val="26"/>
              </w:rPr>
              <w:t xml:space="preserve">paaugstinātu arī </w:t>
            </w:r>
            <w:r w:rsidRPr="009A2270">
              <w:rPr>
                <w:sz w:val="26"/>
                <w:szCs w:val="26"/>
              </w:rPr>
              <w:t>pārējo institūciju amatpersonu un darbinieku motivāciju,</w:t>
            </w:r>
            <w:r w:rsidRPr="009A2270">
              <w:t xml:space="preserve"> </w:t>
            </w:r>
            <w:r w:rsidRPr="009A2270">
              <w:rPr>
                <w:sz w:val="26"/>
                <w:szCs w:val="26"/>
              </w:rPr>
              <w:t xml:space="preserve">nepieciešams papildināt likumprojektu ar normām, kas dod iespēju izmaksāt prēmijas arī citu institūciju </w:t>
            </w:r>
            <w:r w:rsidRPr="009A2270">
              <w:rPr>
                <w:sz w:val="26"/>
                <w:szCs w:val="26"/>
              </w:rPr>
              <w:lastRenderedPageBreak/>
              <w:t>amatpersonām un darbiniekiem, gadījumos ja ir uzlaboti attiecīgo institūciju darbības izpildes rādītāji.</w:t>
            </w:r>
          </w:p>
          <w:p w:rsidR="00CC2F56" w:rsidRPr="00CC2F56" w:rsidRDefault="00310B09" w:rsidP="008865D9">
            <w:pPr>
              <w:pStyle w:val="naisf"/>
              <w:tabs>
                <w:tab w:val="num" w:pos="360"/>
                <w:tab w:val="left" w:pos="900"/>
              </w:tabs>
              <w:spacing w:before="0" w:after="0"/>
              <w:ind w:firstLine="634"/>
              <w:rPr>
                <w:rFonts w:eastAsiaTheme="minorHAnsi"/>
                <w:color w:val="000000"/>
                <w:sz w:val="26"/>
                <w:szCs w:val="26"/>
              </w:rPr>
            </w:pPr>
            <w:r w:rsidRPr="009A2270">
              <w:rPr>
                <w:rFonts w:eastAsiaTheme="minorHAnsi"/>
                <w:color w:val="000000"/>
                <w:sz w:val="26"/>
                <w:szCs w:val="26"/>
              </w:rPr>
              <w:t>L</w:t>
            </w:r>
            <w:r w:rsidR="00CC2F56" w:rsidRPr="009A2270">
              <w:rPr>
                <w:rFonts w:eastAsiaTheme="minorHAnsi"/>
                <w:color w:val="000000"/>
                <w:sz w:val="26"/>
                <w:szCs w:val="26"/>
              </w:rPr>
              <w:t>īdz 2011.gada 31.decembrim</w:t>
            </w:r>
            <w:r w:rsidRPr="009A2270">
              <w:rPr>
                <w:rFonts w:eastAsiaTheme="minorHAnsi"/>
                <w:color w:val="000000"/>
                <w:sz w:val="26"/>
                <w:szCs w:val="26"/>
              </w:rPr>
              <w:t xml:space="preserve"> bija spēkā </w:t>
            </w:r>
            <w:r w:rsidR="00C21066" w:rsidRPr="009A2270">
              <w:rPr>
                <w:rFonts w:eastAsiaTheme="minorHAnsi"/>
                <w:color w:val="000000"/>
                <w:sz w:val="26"/>
                <w:szCs w:val="26"/>
              </w:rPr>
              <w:t xml:space="preserve">Atlīdzības </w:t>
            </w:r>
            <w:r w:rsidRPr="009A2270">
              <w:rPr>
                <w:rFonts w:eastAsiaTheme="minorHAnsi"/>
                <w:color w:val="000000"/>
                <w:sz w:val="26"/>
                <w:szCs w:val="26"/>
              </w:rPr>
              <w:t>likuma norma, ka Va</w:t>
            </w:r>
            <w:r w:rsidR="00CC2F56" w:rsidRPr="009A2270">
              <w:rPr>
                <w:rFonts w:eastAsiaTheme="minorHAnsi"/>
                <w:color w:val="000000"/>
                <w:sz w:val="26"/>
                <w:szCs w:val="26"/>
              </w:rPr>
              <w:t>lsts probācijas dienests (turpmāk – VPD) apdrošina amatpersonu (darbinieku) veselību, kuras</w:t>
            </w:r>
            <w:r w:rsidR="00CC2F56" w:rsidRPr="00CC2F56">
              <w:rPr>
                <w:rFonts w:eastAsiaTheme="minorHAnsi"/>
                <w:color w:val="000000"/>
                <w:sz w:val="26"/>
                <w:szCs w:val="26"/>
              </w:rPr>
              <w:t xml:space="preserve"> ir pakļautas riskam, veicot sociālās uzvedības korekcijas pasākumus soda izciešanas vietās, apmeklējot notiesātos brīvības atņemšanas iestādēs, veicot nosacīti notiesāto personu, pirms termiņa no soda atbrīvoto personu, kā arī to personu uzraudzību, pret kurām izbeigts kriminālprocess, tās nosacīti atbrīvojot no kriminālatbildības, un īstenojot probācijas programmas, organizējot un vadot kriminālsoda – piespiedu darba – izpildi, organizējot audzinoša rakstura piespiedu līdzekļa – sabiedriskā darba – izpildi. </w:t>
            </w:r>
            <w:r>
              <w:rPr>
                <w:rFonts w:eastAsiaTheme="minorHAnsi"/>
                <w:color w:val="000000"/>
                <w:sz w:val="26"/>
                <w:szCs w:val="26"/>
              </w:rPr>
              <w:t>T</w:t>
            </w:r>
            <w:r w:rsidR="00CC2F56" w:rsidRPr="00CC2F56">
              <w:rPr>
                <w:rFonts w:eastAsiaTheme="minorHAnsi"/>
                <w:color w:val="000000"/>
                <w:sz w:val="26"/>
                <w:szCs w:val="26"/>
              </w:rPr>
              <w:t xml:space="preserve">omēr pēc Tieslietu ministrijas rīcībā esošās informācijas šāda apdrošināšana kopš </w:t>
            </w:r>
            <w:r w:rsidR="00C21066">
              <w:rPr>
                <w:rFonts w:eastAsiaTheme="minorHAnsi"/>
                <w:color w:val="000000"/>
                <w:sz w:val="26"/>
                <w:szCs w:val="26"/>
              </w:rPr>
              <w:t>atlīdzības l</w:t>
            </w:r>
            <w:r w:rsidR="00CC2F56" w:rsidRPr="00CC2F56">
              <w:rPr>
                <w:rFonts w:eastAsiaTheme="minorHAnsi"/>
                <w:color w:val="000000"/>
                <w:sz w:val="26"/>
                <w:szCs w:val="26"/>
              </w:rPr>
              <w:t xml:space="preserve">ikuma darbības sākuma netika veikta. Līdz ar to pastāvēja situācija, ka VPD ilgstoši nepildīja tai likumā noteikto pienākumu, tādejādi radot pamatu iespējamām </w:t>
            </w:r>
            <w:proofErr w:type="spellStart"/>
            <w:r w:rsidR="00CC2F56" w:rsidRPr="00CC2F56">
              <w:rPr>
                <w:rFonts w:eastAsiaTheme="minorHAnsi"/>
                <w:color w:val="000000"/>
                <w:sz w:val="26"/>
                <w:szCs w:val="26"/>
              </w:rPr>
              <w:t>tiesvedībām</w:t>
            </w:r>
            <w:proofErr w:type="spellEnd"/>
            <w:r w:rsidR="00CC2F56" w:rsidRPr="00CC2F56">
              <w:rPr>
                <w:rFonts w:eastAsiaTheme="minorHAnsi"/>
                <w:color w:val="000000"/>
                <w:sz w:val="26"/>
                <w:szCs w:val="26"/>
              </w:rPr>
              <w:t xml:space="preserve"> no amatpersonu puses. Šāda situācija Tieslietu ministrijas ieskatā bija nepieļaujama, jo varēja izraisīt neprognozējamas sekas tiesvedību veidā. Ņemot vērā minēto, tika izstrādāti grozījumi atlīdzības likuma 37.pantā (2012.gada 1.janvāra redakcijā), kura septītā daļa šobrīd noteic, ka Valsts probācijas dienests apdrošina pret nelaimes gadījumiem</w:t>
            </w:r>
            <w:r w:rsidR="00C21066">
              <w:rPr>
                <w:rFonts w:eastAsiaTheme="minorHAnsi"/>
                <w:color w:val="000000"/>
                <w:sz w:val="26"/>
                <w:szCs w:val="26"/>
              </w:rPr>
              <w:t xml:space="preserve"> attiecīgās</w:t>
            </w:r>
            <w:r w:rsidR="00CC2F56" w:rsidRPr="00CC2F56">
              <w:rPr>
                <w:rFonts w:eastAsiaTheme="minorHAnsi"/>
                <w:color w:val="000000"/>
                <w:sz w:val="26"/>
                <w:szCs w:val="26"/>
              </w:rPr>
              <w:t xml:space="preserve"> amatpersonas (darbiniekus), kuras ir pakļautas dzīvības vai v</w:t>
            </w:r>
            <w:r w:rsidR="00C21066">
              <w:rPr>
                <w:rFonts w:eastAsiaTheme="minorHAnsi"/>
                <w:color w:val="000000"/>
                <w:sz w:val="26"/>
                <w:szCs w:val="26"/>
              </w:rPr>
              <w:t xml:space="preserve">eselības apdraudējumam (riskam). </w:t>
            </w:r>
            <w:r w:rsidR="00CC2F56" w:rsidRPr="00CC2F56">
              <w:rPr>
                <w:rFonts w:eastAsiaTheme="minorHAnsi"/>
                <w:color w:val="000000"/>
                <w:sz w:val="26"/>
                <w:szCs w:val="26"/>
              </w:rPr>
              <w:t>Ņemot vērā minēto, VPD tika noteikta obligāta atsevišķu kategoriju amatpersonu apdrošināšana pret nelaimes gadījumiem.</w:t>
            </w:r>
          </w:p>
          <w:p w:rsidR="00CC2F56" w:rsidRPr="00C36F1F" w:rsidRDefault="00CC2F56" w:rsidP="00CC2F56">
            <w:pPr>
              <w:ind w:firstLine="567"/>
              <w:jc w:val="both"/>
              <w:rPr>
                <w:rFonts w:eastAsiaTheme="minorHAnsi"/>
                <w:color w:val="000000"/>
                <w:sz w:val="26"/>
                <w:szCs w:val="26"/>
              </w:rPr>
            </w:pPr>
            <w:r w:rsidRPr="00CC2F56">
              <w:rPr>
                <w:rFonts w:eastAsiaTheme="minorHAnsi"/>
                <w:color w:val="000000"/>
                <w:sz w:val="26"/>
                <w:szCs w:val="26"/>
              </w:rPr>
              <w:t xml:space="preserve">Tieslietu ministrijā 2012.gada 21.maijā tika saņemta </w:t>
            </w:r>
            <w:proofErr w:type="spellStart"/>
            <w:r w:rsidRPr="00CC2F56">
              <w:rPr>
                <w:rFonts w:eastAsiaTheme="minorHAnsi"/>
                <w:color w:val="000000"/>
                <w:sz w:val="26"/>
                <w:szCs w:val="26"/>
              </w:rPr>
              <w:t>Tiesībsargs</w:t>
            </w:r>
            <w:proofErr w:type="spellEnd"/>
            <w:r w:rsidRPr="00CC2F56">
              <w:rPr>
                <w:rFonts w:eastAsiaTheme="minorHAnsi"/>
                <w:color w:val="000000"/>
                <w:sz w:val="26"/>
                <w:szCs w:val="26"/>
              </w:rPr>
              <w:t xml:space="preserve"> vēstule, ar kuru pārsūtīts atzinums lietā Nr.2012-34-26K (turpmāk – Atzinums), kas ierosināta, pamatojoties uz VPD amatpersonu iesnieguma pamata, lai pārbaudītu, vai, veicot grozījumus Likumā, attiecībā uz VPD amatpersonām ir ievērots tiesiskās vienlīdzības princips. Atzinumā konstatēts, ka ar 2011.gada 15.decembra grozījumos Valsts un pašvaldību institūciju amatpersonu un darbinieku atlīdzības likumā noteikto VPD amatpersonu sociālo garantiju samazinājumu ir pārkāpts Latvijas Republikas Satversmes 91.pantā noteiktais tiesiskās vienlīdzības princips.</w:t>
            </w:r>
            <w:r w:rsidRPr="00CC2F56">
              <w:rPr>
                <w:sz w:val="26"/>
                <w:szCs w:val="26"/>
              </w:rPr>
              <w:t xml:space="preserve"> Līdz ar to nepieciešams izstrādāt grozījumu atlīdzības likumā attiecībā uz</w:t>
            </w:r>
            <w:r w:rsidRPr="00CC2F56">
              <w:rPr>
                <w:rFonts w:eastAsiaTheme="minorHAnsi"/>
                <w:color w:val="000000"/>
                <w:sz w:val="26"/>
                <w:szCs w:val="26"/>
              </w:rPr>
              <w:t xml:space="preserve"> obligātās veselības apdrošināšanas atjaunošanu VPD amatpersonām (darbiniekiem), kuras amata pienākumu veikšanas laikā ir pakļautas dzīvības vai veselības apdraudējumam.</w:t>
            </w:r>
          </w:p>
          <w:p w:rsidR="001B007D" w:rsidRPr="00C36F1F" w:rsidRDefault="001B007D" w:rsidP="001B007D">
            <w:pPr>
              <w:pStyle w:val="naisf"/>
              <w:tabs>
                <w:tab w:val="num" w:pos="360"/>
                <w:tab w:val="left" w:pos="900"/>
              </w:tabs>
              <w:spacing w:before="0" w:after="0"/>
              <w:ind w:firstLine="634"/>
              <w:rPr>
                <w:sz w:val="26"/>
                <w:szCs w:val="26"/>
              </w:rPr>
            </w:pPr>
            <w:r w:rsidRPr="00C36F1F">
              <w:rPr>
                <w:sz w:val="26"/>
                <w:szCs w:val="26"/>
              </w:rPr>
              <w:t xml:space="preserve">Saskaņā ar atlīdzības likuma 25.pantu karavīrs ik pēc pieciem profesionālā dienesta gadiem saņem vienreizēju pabalstu pēdējo triju mēnešu mēnešalgu un piemaksu apmērā, kāds viņam bija noteikts </w:t>
            </w:r>
            <w:proofErr w:type="spellStart"/>
            <w:r w:rsidRPr="00C36F1F">
              <w:rPr>
                <w:sz w:val="26"/>
                <w:szCs w:val="26"/>
              </w:rPr>
              <w:t>pamatdienesta</w:t>
            </w:r>
            <w:proofErr w:type="spellEnd"/>
            <w:r w:rsidRPr="00C36F1F">
              <w:rPr>
                <w:sz w:val="26"/>
                <w:szCs w:val="26"/>
              </w:rPr>
              <w:t xml:space="preserve"> vietā Latvijā, ja profesionālā dienesta līgums pēc tā termiņa beigām tiek pagarināts. Tādējādi 25.pants nosaka, ka karavīrs izdienas pabalstu saņem, iestājoties diviem priekšnosacījumiem: 1) ir nodienēti pieci gadi profesionālajā dienestā un 2) tiek pagarināts profesionālā dienesta līgums.</w:t>
            </w:r>
          </w:p>
          <w:p w:rsidR="001B007D" w:rsidRDefault="001B007D" w:rsidP="001B007D">
            <w:pPr>
              <w:ind w:firstLine="567"/>
              <w:jc w:val="both"/>
              <w:rPr>
                <w:sz w:val="26"/>
                <w:szCs w:val="26"/>
              </w:rPr>
            </w:pPr>
            <w:r w:rsidRPr="00C36F1F">
              <w:rPr>
                <w:sz w:val="26"/>
                <w:szCs w:val="26"/>
              </w:rPr>
              <w:t xml:space="preserve">Saskaņā ar Militārā dienesta likuma 20.panta trešo daļu </w:t>
            </w:r>
            <w:r w:rsidRPr="00C36F1F">
              <w:rPr>
                <w:sz w:val="26"/>
                <w:szCs w:val="26"/>
              </w:rPr>
              <w:lastRenderedPageBreak/>
              <w:t>profesionālā dienesta līgumu slēdz līdz šā likuma 41.pantā militārajam dienestam noteiktā maksimālā vecuma sasniegšanai vai uz laiku, kas nav īsāks par pieciem gadiem. Pašreizējā normas redakcija apgrūtina piecu gadu izdienas pabalsta izmaksu karavīriem, kam profesionālā dienesta līguma pagarināšanas brīdis nesakrīt ar piecu gadu nodienēto periodu. Nepamatoti attālinās piecu gadu izdienas pabalsta izmaksa karavīriem, kam profesionālā dienesta līgums ir noslēgts vai pirms piecu gadu izdienas perioda iestāšanās ir pagarināts uz laiku, kas pārsniedz piecu gadu periodu (piemēram, noslēgts uz 10 gadiem). Tas rada nevienlīdzīgu situāciju starp tiem karavīriem, kuriem 25.panta priekšnosacījumi piepildās (un tiek izmaksāts pabalsts) un tiem, kuriem profesionālā dienesta līgums ir noslēgts uz ilgāku periodu.</w:t>
            </w:r>
          </w:p>
          <w:p w:rsidR="004A08C9" w:rsidRPr="000D1D5A" w:rsidRDefault="004A08C9" w:rsidP="001B007D">
            <w:pPr>
              <w:ind w:firstLine="567"/>
              <w:jc w:val="both"/>
              <w:rPr>
                <w:sz w:val="26"/>
                <w:szCs w:val="26"/>
              </w:rPr>
            </w:pPr>
            <w:r w:rsidRPr="000D1D5A">
              <w:rPr>
                <w:sz w:val="26"/>
                <w:szCs w:val="26"/>
              </w:rPr>
              <w:t>Šobrīd Atlīdzības likuma regulējums paredz, ka amatpersonai (darbiniekam) izmaksā pabalstu sakarā ar ģimenes locekļa (laulātā, bērna, vecāku, vecvecāku, adoptētāja vai adoptētā, brāļa vai māsas) vai apgādājamā nāvi. Tomēr tiesiskais regulējums neparedz, ka tām diplomātiskā dienesta amatpersonām (darbiniekiem), kuras pastāvīgi pilda dienestu ārvalstīs, var kompensēt ceļa izdevumus no dienesta vietas un atpakaļ, lai ierastos uz ģimenes locekļu bērēm.</w:t>
            </w:r>
          </w:p>
          <w:p w:rsidR="005B566A" w:rsidRPr="000D1D5A" w:rsidRDefault="00B50C75" w:rsidP="005B566A">
            <w:pPr>
              <w:ind w:firstLine="567"/>
              <w:jc w:val="both"/>
              <w:rPr>
                <w:sz w:val="26"/>
                <w:szCs w:val="26"/>
              </w:rPr>
            </w:pPr>
            <w:r w:rsidRPr="000D1D5A">
              <w:rPr>
                <w:sz w:val="26"/>
                <w:szCs w:val="26"/>
              </w:rPr>
              <w:t>Šobrīd likuma „Par tiesu varu” 98.pants noteic, ka tiesnesim pēc atestācijas nokārtošanas var piešķirt piekto, ceturto, trešo, otro vai pirmo kvalifikācijas klasi, savukārt piemaksu apmērs par tiesnešiem piešķirtajām kvalifikācijas klasēm ir noteikts Valsts un pašvaldību institūciju amatpersonu un darbinieku atlīdzības likumā.</w:t>
            </w:r>
            <w:r w:rsidR="005B566A" w:rsidRPr="000D1D5A">
              <w:t xml:space="preserve"> </w:t>
            </w:r>
            <w:r w:rsidR="005B566A" w:rsidRPr="000D1D5A">
              <w:rPr>
                <w:sz w:val="26"/>
                <w:szCs w:val="26"/>
              </w:rPr>
              <w:t xml:space="preserve">Atbilstoši 2011.gada 9.jūnija grozījumiem likumā „Par tiesu varu” no likuma tiek izslēgts 98.pants, pārejas noteikumu 47.punktā paredzot, ka grozījumi šā likuma 98.pantā stājas spēkā vienlaikus ar Valsts un pašvaldību institūciju amatpersonu un darbinieku atlīdzības likuma grozījumiem, kuri nosaka kārtību, kādā tiesnešiem piešķirama atlīdzība par tiesnešu profesionālās darbības novērtēšanu. </w:t>
            </w:r>
          </w:p>
          <w:p w:rsidR="00B50C75" w:rsidRPr="000D1D5A" w:rsidRDefault="005E3CFE" w:rsidP="005B566A">
            <w:pPr>
              <w:ind w:firstLine="567"/>
              <w:jc w:val="both"/>
              <w:rPr>
                <w:sz w:val="26"/>
                <w:szCs w:val="26"/>
              </w:rPr>
            </w:pPr>
            <w:r w:rsidRPr="000D1D5A">
              <w:rPr>
                <w:sz w:val="26"/>
                <w:szCs w:val="26"/>
              </w:rPr>
              <w:t>Saskaņā ar 2011.gada 9.jūnija</w:t>
            </w:r>
            <w:r w:rsidR="005B566A" w:rsidRPr="000D1D5A">
              <w:rPr>
                <w:sz w:val="26"/>
                <w:szCs w:val="26"/>
              </w:rPr>
              <w:t xml:space="preserve"> groz</w:t>
            </w:r>
            <w:r w:rsidRPr="000D1D5A">
              <w:rPr>
                <w:sz w:val="26"/>
                <w:szCs w:val="26"/>
              </w:rPr>
              <w:t xml:space="preserve">ījumiem likumā „Par tiesu varu” ar </w:t>
            </w:r>
            <w:r w:rsidR="005B566A" w:rsidRPr="000D1D5A">
              <w:rPr>
                <w:sz w:val="26"/>
                <w:szCs w:val="26"/>
              </w:rPr>
              <w:t>2013.gada 1.janvār</w:t>
            </w:r>
            <w:r w:rsidRPr="000D1D5A">
              <w:rPr>
                <w:sz w:val="26"/>
                <w:szCs w:val="26"/>
              </w:rPr>
              <w:t xml:space="preserve">i tiek </w:t>
            </w:r>
            <w:r w:rsidR="005B566A" w:rsidRPr="000D1D5A">
              <w:rPr>
                <w:sz w:val="26"/>
                <w:szCs w:val="26"/>
              </w:rPr>
              <w:t xml:space="preserve">ieviesta tiesnešu profesionālās darbības novērtēšana ar mērķi veicināt tiesneša nepārtrauktu profesionālo izaugsmi visas viņa karjeras laikā, tādējādi uzlabojot tiesneša un tiesas darba kvalitāti. Tiesneša profesionālās darbības kārtējo novērtēšanu Tiesnešu kvalifikācijas kolēģija veiks reizi piecos gados pēc tiesneša apstiprināšanas amatā bez pilnvaru termiņa ierobežojuma. </w:t>
            </w:r>
            <w:r w:rsidR="001F7CCC" w:rsidRPr="000D1D5A">
              <w:rPr>
                <w:sz w:val="26"/>
                <w:szCs w:val="26"/>
              </w:rPr>
              <w:t>L</w:t>
            </w:r>
            <w:r w:rsidR="005B566A" w:rsidRPr="000D1D5A">
              <w:rPr>
                <w:sz w:val="26"/>
                <w:szCs w:val="26"/>
              </w:rPr>
              <w:t>īdz ar tiesnešu profesionālās darbības novērtēšanas ieviešanu</w:t>
            </w:r>
            <w:r w:rsidR="001F7CCC" w:rsidRPr="000D1D5A">
              <w:rPr>
                <w:sz w:val="26"/>
                <w:szCs w:val="26"/>
              </w:rPr>
              <w:t xml:space="preserve"> </w:t>
            </w:r>
            <w:r w:rsidR="005B566A" w:rsidRPr="000D1D5A">
              <w:rPr>
                <w:sz w:val="26"/>
                <w:szCs w:val="26"/>
              </w:rPr>
              <w:t>tiesnešiem vairs netiks piešķirtas kvalifikācijas klases, bet gan Tiesnešu kvalifikācijas kolēģija novērtēs tiesnešu profesionālo darbību, sniedzot</w:t>
            </w:r>
            <w:r w:rsidR="001F7CCC" w:rsidRPr="000D1D5A">
              <w:rPr>
                <w:sz w:val="26"/>
                <w:szCs w:val="26"/>
              </w:rPr>
              <w:t xml:space="preserve"> pozitīvu vai negatīvu atzinumu</w:t>
            </w:r>
            <w:r w:rsidR="005B566A" w:rsidRPr="000D1D5A">
              <w:rPr>
                <w:sz w:val="26"/>
                <w:szCs w:val="26"/>
              </w:rPr>
              <w:t>.</w:t>
            </w:r>
          </w:p>
          <w:p w:rsidR="0069500F" w:rsidRDefault="0069500F" w:rsidP="001B007D">
            <w:pPr>
              <w:ind w:firstLine="567"/>
              <w:jc w:val="both"/>
              <w:rPr>
                <w:sz w:val="26"/>
                <w:szCs w:val="26"/>
              </w:rPr>
            </w:pPr>
            <w:r w:rsidRPr="000D1D5A">
              <w:rPr>
                <w:sz w:val="26"/>
                <w:szCs w:val="26"/>
              </w:rPr>
              <w:t xml:space="preserve">Šobrīd prokurori, kā arī citi juridisko profesiju pārstāvji (piemēram, zvērināti advokāti) vai tiesneši, kas strādājuši Satversmes tiesā vai pārnacionālajās tiesās, un kuru iegūtās zināšanas un pieredze būtu noderīgas tiesneša amatā, nav motivēti kandidēt uz vakantajām tiesnešu amata vietām, jo laiks, kuru viņi nostrādājuši iepriekšminētajās profesijās vai amatos, netiek ņemts vērā, aprēķinot tiesnesim noteikto </w:t>
            </w:r>
            <w:r w:rsidRPr="000D1D5A">
              <w:rPr>
                <w:sz w:val="26"/>
                <w:szCs w:val="26"/>
              </w:rPr>
              <w:lastRenderedPageBreak/>
              <w:t>piemaksu par kvalifikācijas klasi.</w:t>
            </w:r>
            <w:r w:rsidRPr="0069500F">
              <w:rPr>
                <w:sz w:val="26"/>
                <w:szCs w:val="26"/>
              </w:rPr>
              <w:t xml:space="preserve"> </w:t>
            </w:r>
          </w:p>
          <w:p w:rsidR="00196BF3" w:rsidRDefault="002167F5" w:rsidP="00BC44B7">
            <w:pPr>
              <w:ind w:firstLine="567"/>
              <w:jc w:val="both"/>
              <w:rPr>
                <w:rFonts w:eastAsiaTheme="minorHAnsi"/>
                <w:color w:val="000000"/>
                <w:sz w:val="26"/>
                <w:szCs w:val="26"/>
              </w:rPr>
            </w:pPr>
            <w:r w:rsidRPr="00C36F1F">
              <w:rPr>
                <w:rFonts w:eastAsiaTheme="minorHAnsi"/>
                <w:color w:val="000000"/>
                <w:sz w:val="26"/>
                <w:szCs w:val="26"/>
              </w:rPr>
              <w:t xml:space="preserve">Šobrīd likumā „Par aviāciju” un Jūrlietu pārvaldes un jūras drošības likumā ir paredzēta Transporta nelaimes gadījumu un incidentu izmeklēšanas biroja izmeklētāju apdrošināšana pret nelaimes gadījumiem, kas var notikt aviācijas nelaimes gadījuma vai jūras negadījuma vietā ķīmisko, fizisko, bioloģisko faktoru dēļ. Arī dzelzceļa satiksmes negadījumu izmeklētājiem nākas saskarties ar līdzīgiem faktoriem dzelzceļa satiksmes negadījumu izmeklēšanas vietās. </w:t>
            </w:r>
            <w:r w:rsidR="009222A3" w:rsidRPr="00C36F1F">
              <w:rPr>
                <w:rFonts w:eastAsiaTheme="minorHAnsi"/>
                <w:color w:val="000000"/>
                <w:sz w:val="26"/>
                <w:szCs w:val="26"/>
              </w:rPr>
              <w:t xml:space="preserve"> </w:t>
            </w:r>
            <w:r w:rsidRPr="00C36F1F">
              <w:rPr>
                <w:rFonts w:eastAsiaTheme="minorHAnsi"/>
                <w:color w:val="000000"/>
                <w:sz w:val="26"/>
                <w:szCs w:val="26"/>
              </w:rPr>
              <w:t xml:space="preserve">Lai sakārtotu  Transporta nelaimes gadījumu un incidentu izmeklēšanas biroja izmeklētāju apdrošināšanas jautājumu, nepieciešams atlīdzības likumā ietvert </w:t>
            </w:r>
            <w:r w:rsidR="009222A3" w:rsidRPr="00C36F1F">
              <w:rPr>
                <w:rFonts w:eastAsiaTheme="minorHAnsi"/>
                <w:color w:val="000000"/>
                <w:sz w:val="26"/>
                <w:szCs w:val="26"/>
              </w:rPr>
              <w:t xml:space="preserve">vienotu </w:t>
            </w:r>
            <w:r w:rsidRPr="00C36F1F">
              <w:rPr>
                <w:rFonts w:eastAsiaTheme="minorHAnsi"/>
                <w:color w:val="000000"/>
                <w:sz w:val="26"/>
                <w:szCs w:val="26"/>
              </w:rPr>
              <w:t>regulējumu, kas paredz, ka visi</w:t>
            </w:r>
            <w:r w:rsidRPr="00C36F1F">
              <w:rPr>
                <w:sz w:val="26"/>
                <w:szCs w:val="26"/>
              </w:rPr>
              <w:t xml:space="preserve"> </w:t>
            </w:r>
            <w:r w:rsidRPr="00C36F1F">
              <w:rPr>
                <w:rFonts w:eastAsiaTheme="minorHAnsi"/>
                <w:color w:val="000000"/>
                <w:sz w:val="26"/>
                <w:szCs w:val="26"/>
              </w:rPr>
              <w:t xml:space="preserve">Transporta nelaimes gadījumu un incidentu izmeklēšanas biroja izmeklētāji ir apdrošināti pret nelaimes gadījumiem, kas var notikt attiecīgajā negadījuma vietā. </w:t>
            </w:r>
          </w:p>
          <w:p w:rsidR="00A469DD" w:rsidRPr="00C36F1F" w:rsidRDefault="00AC32F6" w:rsidP="00BC44B7">
            <w:pPr>
              <w:ind w:firstLine="567"/>
              <w:jc w:val="both"/>
              <w:rPr>
                <w:rFonts w:eastAsiaTheme="minorHAnsi"/>
                <w:color w:val="000000"/>
                <w:sz w:val="26"/>
                <w:szCs w:val="26"/>
              </w:rPr>
            </w:pPr>
            <w:r>
              <w:rPr>
                <w:rFonts w:eastAsiaTheme="minorHAnsi"/>
                <w:color w:val="000000"/>
                <w:sz w:val="26"/>
                <w:szCs w:val="26"/>
              </w:rPr>
              <w:t xml:space="preserve">Tā kā </w:t>
            </w:r>
            <w:r w:rsidR="00A469DD" w:rsidRPr="00A469DD">
              <w:rPr>
                <w:rFonts w:eastAsiaTheme="minorHAnsi"/>
                <w:color w:val="000000"/>
                <w:sz w:val="26"/>
                <w:szCs w:val="26"/>
              </w:rPr>
              <w:t>2015.gada pirmajā pusgadā plānota Latvijas prezidentūra Eiropas Savienības Padomē</w:t>
            </w:r>
            <w:r>
              <w:rPr>
                <w:rFonts w:eastAsiaTheme="minorHAnsi"/>
                <w:color w:val="000000"/>
                <w:sz w:val="26"/>
                <w:szCs w:val="26"/>
              </w:rPr>
              <w:t>, nepieciešams nodrošināt</w:t>
            </w:r>
            <w:r w:rsidR="00A469DD" w:rsidRPr="00A469DD">
              <w:rPr>
                <w:rFonts w:eastAsiaTheme="minorHAnsi"/>
                <w:color w:val="000000"/>
                <w:sz w:val="26"/>
                <w:szCs w:val="26"/>
              </w:rPr>
              <w:t xml:space="preserve"> vienotus nosacījumus valsts pārvaldes iestādēs atbilstoša pers</w:t>
            </w:r>
            <w:r>
              <w:rPr>
                <w:rFonts w:eastAsiaTheme="minorHAnsi"/>
                <w:color w:val="000000"/>
                <w:sz w:val="26"/>
                <w:szCs w:val="26"/>
              </w:rPr>
              <w:t>onāla piesaistei un motivēšanai.</w:t>
            </w:r>
          </w:p>
          <w:p w:rsidR="00207CA2" w:rsidRPr="00C36F1F" w:rsidRDefault="005858E5" w:rsidP="00BC44B7">
            <w:pPr>
              <w:ind w:firstLine="567"/>
              <w:jc w:val="both"/>
              <w:rPr>
                <w:rFonts w:eastAsiaTheme="minorHAnsi"/>
                <w:color w:val="000000"/>
                <w:sz w:val="26"/>
                <w:szCs w:val="26"/>
              </w:rPr>
            </w:pPr>
            <w:r w:rsidRPr="00C36F1F">
              <w:rPr>
                <w:rFonts w:eastAsiaTheme="minorHAnsi"/>
                <w:color w:val="000000"/>
                <w:sz w:val="26"/>
                <w:szCs w:val="26"/>
              </w:rPr>
              <w:t xml:space="preserve">Ņemot vērā, ka </w:t>
            </w:r>
            <w:r w:rsidR="00C9357C">
              <w:rPr>
                <w:rFonts w:eastAsiaTheme="minorHAnsi"/>
                <w:color w:val="000000"/>
                <w:sz w:val="26"/>
                <w:szCs w:val="26"/>
              </w:rPr>
              <w:t xml:space="preserve">atlīdzības </w:t>
            </w:r>
            <w:r w:rsidRPr="00C36F1F">
              <w:rPr>
                <w:rFonts w:eastAsiaTheme="minorHAnsi"/>
                <w:color w:val="000000"/>
                <w:sz w:val="26"/>
                <w:szCs w:val="26"/>
              </w:rPr>
              <w:t>likuma piemērošanas procesā konstatēts, ka atsevišķas institūcijas pieļauj dažādu likuma normu interpretāciju, nepieciešami atsevišķi redakcionāla rakstura  precizējumi, lai nodrošinātu likuma normu viennozīmīgu piemērošanu.</w:t>
            </w:r>
          </w:p>
        </w:tc>
      </w:tr>
      <w:tr w:rsidR="00207CA2" w:rsidRPr="00C36F1F" w:rsidTr="009E181A">
        <w:trPr>
          <w:trHeight w:val="1071"/>
        </w:trPr>
        <w:tc>
          <w:tcPr>
            <w:tcW w:w="781" w:type="dxa"/>
          </w:tcPr>
          <w:p w:rsidR="00207CA2" w:rsidRPr="00C36F1F" w:rsidRDefault="00207CA2" w:rsidP="00FB2F9B">
            <w:pPr>
              <w:pStyle w:val="naiskr"/>
              <w:spacing w:before="0" w:after="0"/>
              <w:jc w:val="both"/>
              <w:rPr>
                <w:sz w:val="26"/>
                <w:szCs w:val="26"/>
              </w:rPr>
            </w:pPr>
            <w:r w:rsidRPr="00C36F1F">
              <w:rPr>
                <w:sz w:val="26"/>
                <w:szCs w:val="26"/>
              </w:rPr>
              <w:lastRenderedPageBreak/>
              <w:t>3.</w:t>
            </w:r>
          </w:p>
        </w:tc>
        <w:tc>
          <w:tcPr>
            <w:tcW w:w="1629" w:type="dxa"/>
          </w:tcPr>
          <w:p w:rsidR="00207CA2" w:rsidRPr="00C36F1F" w:rsidRDefault="00207CA2" w:rsidP="00FB2F9B">
            <w:pPr>
              <w:pStyle w:val="naiskr"/>
              <w:spacing w:before="0" w:after="0"/>
              <w:jc w:val="both"/>
              <w:rPr>
                <w:sz w:val="26"/>
                <w:szCs w:val="26"/>
              </w:rPr>
            </w:pPr>
            <w:r w:rsidRPr="00C36F1F">
              <w:rPr>
                <w:sz w:val="26"/>
                <w:szCs w:val="26"/>
              </w:rPr>
              <w:t>Saistītie politikas ietekmes novērtējumi un pētījumi</w:t>
            </w:r>
          </w:p>
        </w:tc>
        <w:tc>
          <w:tcPr>
            <w:tcW w:w="7641" w:type="dxa"/>
          </w:tcPr>
          <w:p w:rsidR="00207CA2" w:rsidRPr="00C36F1F" w:rsidRDefault="00207CA2" w:rsidP="00E6245C">
            <w:pPr>
              <w:pStyle w:val="FootnoteText"/>
              <w:jc w:val="both"/>
              <w:rPr>
                <w:sz w:val="26"/>
                <w:szCs w:val="26"/>
              </w:rPr>
            </w:pPr>
            <w:r w:rsidRPr="00C36F1F">
              <w:rPr>
                <w:sz w:val="26"/>
                <w:szCs w:val="26"/>
              </w:rPr>
              <w:t xml:space="preserve"> </w:t>
            </w:r>
            <w:r w:rsidR="00E6245C" w:rsidRPr="00C36F1F">
              <w:rPr>
                <w:sz w:val="26"/>
                <w:szCs w:val="26"/>
              </w:rPr>
              <w:t>Projekts šo jomu neskar.</w:t>
            </w:r>
          </w:p>
        </w:tc>
      </w:tr>
      <w:tr w:rsidR="00207CA2" w:rsidRPr="00C36F1F" w:rsidTr="009E181A">
        <w:trPr>
          <w:trHeight w:val="384"/>
        </w:trPr>
        <w:tc>
          <w:tcPr>
            <w:tcW w:w="781" w:type="dxa"/>
          </w:tcPr>
          <w:p w:rsidR="00207CA2" w:rsidRPr="00C36F1F" w:rsidRDefault="00207CA2" w:rsidP="00FB2F9B">
            <w:pPr>
              <w:pStyle w:val="naiskr"/>
              <w:spacing w:before="0" w:after="0"/>
              <w:jc w:val="both"/>
              <w:rPr>
                <w:sz w:val="26"/>
                <w:szCs w:val="26"/>
              </w:rPr>
            </w:pPr>
            <w:r w:rsidRPr="00C36F1F">
              <w:rPr>
                <w:sz w:val="26"/>
                <w:szCs w:val="26"/>
              </w:rPr>
              <w:t>4.</w:t>
            </w:r>
          </w:p>
        </w:tc>
        <w:tc>
          <w:tcPr>
            <w:tcW w:w="1629" w:type="dxa"/>
          </w:tcPr>
          <w:p w:rsidR="00207CA2" w:rsidRPr="00C36F1F" w:rsidRDefault="00207CA2" w:rsidP="002A02AE">
            <w:pPr>
              <w:pStyle w:val="naiskr"/>
              <w:spacing w:before="0" w:after="0"/>
              <w:rPr>
                <w:sz w:val="26"/>
                <w:szCs w:val="26"/>
              </w:rPr>
            </w:pPr>
            <w:r w:rsidRPr="00C36F1F">
              <w:rPr>
                <w:sz w:val="26"/>
                <w:szCs w:val="26"/>
              </w:rPr>
              <w:t>Tiesiskā regulējuma mērķis un būtība</w:t>
            </w:r>
          </w:p>
        </w:tc>
        <w:tc>
          <w:tcPr>
            <w:tcW w:w="7641" w:type="dxa"/>
          </w:tcPr>
          <w:p w:rsidR="00255B42" w:rsidRPr="0005709F" w:rsidRDefault="00255B42" w:rsidP="00886D3C">
            <w:pPr>
              <w:autoSpaceDE w:val="0"/>
              <w:autoSpaceDN w:val="0"/>
              <w:adjustRightInd w:val="0"/>
              <w:ind w:firstLine="567"/>
              <w:jc w:val="both"/>
              <w:rPr>
                <w:rFonts w:eastAsiaTheme="minorHAnsi"/>
                <w:color w:val="000000"/>
                <w:sz w:val="26"/>
                <w:szCs w:val="26"/>
              </w:rPr>
            </w:pPr>
            <w:r w:rsidRPr="0005709F">
              <w:rPr>
                <w:rFonts w:eastAsiaTheme="minorHAnsi"/>
                <w:color w:val="000000"/>
                <w:sz w:val="26"/>
                <w:szCs w:val="26"/>
              </w:rPr>
              <w:t>Likumprojekts paredz saglabāt atsevišķus ierobežojumus ar atlīdzību saistītajiem izdevumiem</w:t>
            </w:r>
            <w:r w:rsidR="00A96E79" w:rsidRPr="0005709F">
              <w:rPr>
                <w:rFonts w:eastAsiaTheme="minorHAnsi"/>
                <w:color w:val="000000"/>
                <w:sz w:val="26"/>
                <w:szCs w:val="26"/>
              </w:rPr>
              <w:t xml:space="preserve"> arī 2013.gadā</w:t>
            </w:r>
            <w:r w:rsidRPr="0005709F">
              <w:rPr>
                <w:rFonts w:eastAsiaTheme="minorHAnsi"/>
                <w:color w:val="000000"/>
                <w:sz w:val="26"/>
                <w:szCs w:val="26"/>
              </w:rPr>
              <w:t xml:space="preserve">, </w:t>
            </w:r>
            <w:r w:rsidR="00076270" w:rsidRPr="0005709F">
              <w:rPr>
                <w:rFonts w:eastAsiaTheme="minorHAnsi"/>
                <w:color w:val="000000"/>
                <w:sz w:val="26"/>
                <w:szCs w:val="26"/>
              </w:rPr>
              <w:t>tai skaitā</w:t>
            </w:r>
            <w:r w:rsidRPr="0005709F">
              <w:rPr>
                <w:rFonts w:eastAsiaTheme="minorHAnsi"/>
                <w:color w:val="000000"/>
                <w:sz w:val="26"/>
                <w:szCs w:val="26"/>
              </w:rPr>
              <w:t>, atlaišanas vai atvaļināšanas pabalsta apmēram</w:t>
            </w:r>
            <w:r w:rsidR="00886D3C" w:rsidRPr="0005709F">
              <w:rPr>
                <w:rFonts w:eastAsiaTheme="minorHAnsi"/>
                <w:color w:val="000000"/>
                <w:sz w:val="26"/>
                <w:szCs w:val="26"/>
              </w:rPr>
              <w:t xml:space="preserve"> –</w:t>
            </w:r>
            <w:r w:rsidR="00886D3C" w:rsidRPr="0005709F">
              <w:t xml:space="preserve"> </w:t>
            </w:r>
            <w:r w:rsidR="00886D3C" w:rsidRPr="0005709F">
              <w:rPr>
                <w:rFonts w:eastAsiaTheme="minorHAnsi"/>
                <w:color w:val="000000"/>
                <w:sz w:val="26"/>
                <w:szCs w:val="26"/>
              </w:rPr>
              <w:t>95% no mēneša vidējās izpeļņas, ja amatpersona (darbinieks) pie attiecīgā darba devēja bijusi nodarbināta mazāk nekā piecus gadus; viena mēneša vidējā izpeļņa - ja vairāk nekā piecus gadus</w:t>
            </w:r>
            <w:r w:rsidRPr="0005709F">
              <w:rPr>
                <w:rFonts w:eastAsiaTheme="minorHAnsi"/>
                <w:color w:val="000000"/>
                <w:sz w:val="26"/>
                <w:szCs w:val="26"/>
              </w:rPr>
              <w:t>, kā arī iespēju institūcijām arī 2013.gadā noteikt nepilnu darba laiku.</w:t>
            </w:r>
          </w:p>
          <w:p w:rsidR="00267B53" w:rsidRPr="0005709F" w:rsidRDefault="00267B53" w:rsidP="00267B53">
            <w:pPr>
              <w:autoSpaceDE w:val="0"/>
              <w:autoSpaceDN w:val="0"/>
              <w:adjustRightInd w:val="0"/>
              <w:ind w:firstLine="567"/>
              <w:jc w:val="both"/>
              <w:rPr>
                <w:rFonts w:cs="Arial"/>
                <w:color w:val="000000"/>
                <w:sz w:val="26"/>
                <w:szCs w:val="26"/>
              </w:rPr>
            </w:pPr>
            <w:r w:rsidRPr="006F1E57">
              <w:rPr>
                <w:rFonts w:cs="Arial"/>
                <w:color w:val="000000"/>
                <w:sz w:val="26"/>
                <w:szCs w:val="26"/>
              </w:rPr>
              <w:t xml:space="preserve">2013.gadā </w:t>
            </w:r>
            <w:r w:rsidR="004E2590" w:rsidRPr="006F1E57">
              <w:rPr>
                <w:rFonts w:cs="Arial"/>
                <w:color w:val="000000"/>
                <w:sz w:val="26"/>
                <w:szCs w:val="26"/>
              </w:rPr>
              <w:t xml:space="preserve">paredzēts </w:t>
            </w:r>
            <w:r w:rsidRPr="006F1E57">
              <w:rPr>
                <w:rFonts w:cs="Arial"/>
                <w:color w:val="000000"/>
                <w:sz w:val="26"/>
                <w:szCs w:val="26"/>
              </w:rPr>
              <w:t xml:space="preserve">vēlēto amatpersonu mēnešalgu apmēra </w:t>
            </w:r>
            <w:r w:rsidR="004E2590" w:rsidRPr="006F1E57">
              <w:rPr>
                <w:rFonts w:cs="Arial"/>
                <w:color w:val="000000"/>
                <w:sz w:val="26"/>
                <w:szCs w:val="26"/>
              </w:rPr>
              <w:t xml:space="preserve">aprēķināšanai piemērot </w:t>
            </w:r>
            <w:r w:rsidR="004E2590" w:rsidRPr="006F1E57">
              <w:t xml:space="preserve"> </w:t>
            </w:r>
            <w:r w:rsidR="004E2590" w:rsidRPr="006F1E57">
              <w:rPr>
                <w:rFonts w:cs="Arial"/>
                <w:color w:val="000000"/>
                <w:sz w:val="26"/>
                <w:szCs w:val="26"/>
              </w:rPr>
              <w:t xml:space="preserve">Centrālās statistikas pārvaldes oficiālajā statistikas paziņojumā publicēto valstī strādājošo </w:t>
            </w:r>
            <w:r w:rsidRPr="006F1E57">
              <w:rPr>
                <w:rFonts w:cs="Arial"/>
                <w:color w:val="000000"/>
                <w:sz w:val="26"/>
                <w:szCs w:val="26"/>
              </w:rPr>
              <w:t>20</w:t>
            </w:r>
            <w:r w:rsidR="004E2590" w:rsidRPr="006F1E57">
              <w:rPr>
                <w:rFonts w:cs="Arial"/>
                <w:color w:val="000000"/>
                <w:sz w:val="26"/>
                <w:szCs w:val="26"/>
              </w:rPr>
              <w:t>12</w:t>
            </w:r>
            <w:r w:rsidRPr="006F1E57">
              <w:rPr>
                <w:rFonts w:cs="Arial"/>
                <w:color w:val="000000"/>
                <w:sz w:val="26"/>
                <w:szCs w:val="26"/>
              </w:rPr>
              <w:t>.gada 1.pusgad</w:t>
            </w:r>
            <w:r w:rsidR="004E2590" w:rsidRPr="006F1E57">
              <w:rPr>
                <w:rFonts w:cs="Arial"/>
                <w:color w:val="000000"/>
                <w:sz w:val="26"/>
                <w:szCs w:val="26"/>
              </w:rPr>
              <w:t>a</w:t>
            </w:r>
            <w:r w:rsidR="004E2590" w:rsidRPr="006F1E57">
              <w:t xml:space="preserve"> </w:t>
            </w:r>
            <w:r w:rsidR="004E2590" w:rsidRPr="006F1E57">
              <w:rPr>
                <w:rFonts w:cs="Arial"/>
                <w:color w:val="000000"/>
                <w:sz w:val="26"/>
                <w:szCs w:val="26"/>
              </w:rPr>
              <w:t xml:space="preserve">mēneša vidējās darba samaksas apmēru </w:t>
            </w:r>
            <w:r w:rsidRPr="006F1E57">
              <w:rPr>
                <w:rFonts w:cs="Arial"/>
                <w:color w:val="000000"/>
                <w:sz w:val="26"/>
                <w:szCs w:val="26"/>
              </w:rPr>
              <w:t xml:space="preserve"> – 47</w:t>
            </w:r>
            <w:r w:rsidR="004E2590" w:rsidRPr="006F1E57">
              <w:rPr>
                <w:rFonts w:cs="Arial"/>
                <w:color w:val="000000"/>
                <w:sz w:val="26"/>
                <w:szCs w:val="26"/>
              </w:rPr>
              <w:t>4</w:t>
            </w:r>
            <w:r w:rsidRPr="006F1E57">
              <w:rPr>
                <w:rFonts w:cs="Arial"/>
                <w:color w:val="000000"/>
                <w:sz w:val="26"/>
                <w:szCs w:val="26"/>
              </w:rPr>
              <w:t xml:space="preserve"> lat</w:t>
            </w:r>
            <w:r w:rsidR="00354228">
              <w:rPr>
                <w:rFonts w:cs="Arial"/>
                <w:color w:val="000000"/>
                <w:sz w:val="26"/>
                <w:szCs w:val="26"/>
              </w:rPr>
              <w:t>i</w:t>
            </w:r>
            <w:r w:rsidRPr="006F1E57">
              <w:rPr>
                <w:rFonts w:cs="Arial"/>
                <w:color w:val="000000"/>
                <w:sz w:val="26"/>
                <w:szCs w:val="26"/>
              </w:rPr>
              <w:t>.</w:t>
            </w:r>
          </w:p>
          <w:p w:rsidR="00267B53" w:rsidRPr="0005709F" w:rsidRDefault="00267B53" w:rsidP="00267B53">
            <w:pPr>
              <w:autoSpaceDE w:val="0"/>
              <w:autoSpaceDN w:val="0"/>
              <w:adjustRightInd w:val="0"/>
              <w:ind w:firstLine="567"/>
              <w:jc w:val="both"/>
              <w:rPr>
                <w:rFonts w:cs="Arial"/>
                <w:color w:val="000000"/>
                <w:sz w:val="26"/>
                <w:szCs w:val="26"/>
              </w:rPr>
            </w:pPr>
            <w:r w:rsidRPr="0005709F">
              <w:rPr>
                <w:rFonts w:cs="Arial"/>
                <w:color w:val="000000"/>
                <w:sz w:val="26"/>
                <w:szCs w:val="26"/>
              </w:rPr>
              <w:t xml:space="preserve"> Paredzēts pārskatīt Nacionālās elektronisko plašsaziņas līdzekļu padomes locekļu mēnešalgas noteikšanā piemērojamos koeficientus, </w:t>
            </w:r>
            <w:r w:rsidRPr="0005709F">
              <w:rPr>
                <w:sz w:val="26"/>
                <w:szCs w:val="26"/>
              </w:rPr>
              <w:t xml:space="preserve">tādējādi nodrošinot padomes locekļiem konkurētspējīgu atalgojumu. </w:t>
            </w:r>
          </w:p>
          <w:p w:rsidR="00EC76A2" w:rsidRPr="0005709F" w:rsidRDefault="00BE74EF" w:rsidP="00186F57">
            <w:pPr>
              <w:autoSpaceDE w:val="0"/>
              <w:autoSpaceDN w:val="0"/>
              <w:adjustRightInd w:val="0"/>
              <w:ind w:firstLine="567"/>
              <w:jc w:val="both"/>
              <w:rPr>
                <w:rFonts w:eastAsiaTheme="minorHAnsi"/>
                <w:color w:val="000000"/>
                <w:sz w:val="26"/>
                <w:szCs w:val="26"/>
              </w:rPr>
            </w:pPr>
            <w:r w:rsidRPr="0005709F">
              <w:rPr>
                <w:rFonts w:cs="Arial"/>
                <w:color w:val="000000"/>
                <w:sz w:val="26"/>
                <w:szCs w:val="26"/>
              </w:rPr>
              <w:t>Paredzēts paaugstināt piemaksu par papildu darbu, par vakanta amata vai prombūtnē esošas amatpersonas pienākumu pildīšanu no šobrīd noteiktā 20% apmēra uz 35% apmēru no mēnešalgas</w:t>
            </w:r>
            <w:r w:rsidR="00186F57" w:rsidRPr="0005709F">
              <w:rPr>
                <w:rFonts w:cs="Arial"/>
                <w:color w:val="000000"/>
                <w:sz w:val="26"/>
                <w:szCs w:val="26"/>
              </w:rPr>
              <w:t xml:space="preserve">, </w:t>
            </w:r>
            <w:r w:rsidR="00186F57" w:rsidRPr="0005709F">
              <w:rPr>
                <w:rFonts w:eastAsiaTheme="minorHAnsi"/>
                <w:color w:val="000000"/>
                <w:sz w:val="26"/>
                <w:szCs w:val="26"/>
              </w:rPr>
              <w:t xml:space="preserve">kā arī paaugstināt </w:t>
            </w:r>
            <w:r w:rsidR="00186F57" w:rsidRPr="0005709F">
              <w:t xml:space="preserve"> </w:t>
            </w:r>
            <w:r w:rsidR="00186F57" w:rsidRPr="0005709F">
              <w:rPr>
                <w:rFonts w:eastAsiaTheme="minorHAnsi"/>
                <w:color w:val="000000"/>
                <w:sz w:val="26"/>
                <w:szCs w:val="26"/>
              </w:rPr>
              <w:t>piemaks</w:t>
            </w:r>
            <w:r w:rsidR="00C742FB" w:rsidRPr="0005709F">
              <w:rPr>
                <w:rFonts w:eastAsiaTheme="minorHAnsi"/>
                <w:color w:val="000000"/>
                <w:sz w:val="26"/>
                <w:szCs w:val="26"/>
              </w:rPr>
              <w:t>u</w:t>
            </w:r>
            <w:r w:rsidR="00186F57" w:rsidRPr="0005709F">
              <w:rPr>
                <w:rFonts w:eastAsiaTheme="minorHAnsi"/>
                <w:color w:val="000000"/>
                <w:sz w:val="26"/>
                <w:szCs w:val="26"/>
              </w:rPr>
              <w:t xml:space="preserve"> par personisko darba ieguldījumu un darba kvalitāti no 20% apmēra no </w:t>
            </w:r>
            <w:r w:rsidR="00186F57" w:rsidRPr="0005709F">
              <w:t xml:space="preserve"> </w:t>
            </w:r>
            <w:r w:rsidR="00186F57" w:rsidRPr="0005709F">
              <w:rPr>
                <w:rFonts w:eastAsiaTheme="minorHAnsi"/>
                <w:color w:val="000000"/>
                <w:sz w:val="26"/>
                <w:szCs w:val="26"/>
              </w:rPr>
              <w:t>amatpersonas (darbinieka) mēnešalgas uz 30% apmēru.</w:t>
            </w:r>
            <w:r w:rsidR="00EC76A2" w:rsidRPr="0005709F">
              <w:rPr>
                <w:rFonts w:eastAsiaTheme="minorHAnsi"/>
                <w:color w:val="000000"/>
                <w:sz w:val="26"/>
                <w:szCs w:val="26"/>
              </w:rPr>
              <w:t xml:space="preserve"> Piemaksas tiek paaugstinātas, lai arī turpmāk saglabātu un </w:t>
            </w:r>
            <w:r w:rsidR="00EC76A2" w:rsidRPr="0005709F">
              <w:rPr>
                <w:rFonts w:eastAsiaTheme="minorHAnsi"/>
                <w:color w:val="000000"/>
                <w:sz w:val="26"/>
                <w:szCs w:val="26"/>
              </w:rPr>
              <w:lastRenderedPageBreak/>
              <w:t>noturētu speciālistus valsts pārvaldē. Tādējādi tiek paaugstināta atlīdzības mainīgā daļa, kas sekmē darbinieku motivāciju.</w:t>
            </w:r>
          </w:p>
          <w:p w:rsidR="00186F57" w:rsidRPr="0005709F" w:rsidRDefault="00186F57" w:rsidP="00186F57">
            <w:pPr>
              <w:autoSpaceDE w:val="0"/>
              <w:autoSpaceDN w:val="0"/>
              <w:adjustRightInd w:val="0"/>
              <w:ind w:firstLine="567"/>
              <w:jc w:val="both"/>
              <w:rPr>
                <w:rFonts w:cs="Arial"/>
                <w:color w:val="000000"/>
                <w:sz w:val="26"/>
                <w:szCs w:val="26"/>
              </w:rPr>
            </w:pPr>
            <w:r w:rsidRPr="0005709F">
              <w:rPr>
                <w:rFonts w:cs="Arial"/>
                <w:color w:val="000000"/>
                <w:sz w:val="26"/>
                <w:szCs w:val="26"/>
              </w:rPr>
              <w:t xml:space="preserve">Ar 2013.gadu atceļas ierobežojums atvaļinājuma pabalsta apmēram – </w:t>
            </w:r>
            <w:r w:rsidR="00EA0C52" w:rsidRPr="0005709F">
              <w:rPr>
                <w:rFonts w:cs="Arial"/>
                <w:color w:val="000000"/>
                <w:sz w:val="26"/>
                <w:szCs w:val="26"/>
              </w:rPr>
              <w:t xml:space="preserve">tādējādi </w:t>
            </w:r>
            <w:r w:rsidRPr="0005709F">
              <w:rPr>
                <w:rFonts w:cs="Arial"/>
                <w:color w:val="000000"/>
                <w:sz w:val="26"/>
                <w:szCs w:val="26"/>
              </w:rPr>
              <w:t xml:space="preserve">varēs izmaksāt līdz 50% no mēnešalgas (šogad– līdz 25% no mēnešalgas). </w:t>
            </w:r>
            <w:r w:rsidR="00EA0C52" w:rsidRPr="0005709F">
              <w:rPr>
                <w:rFonts w:cs="Arial"/>
                <w:color w:val="000000"/>
                <w:sz w:val="26"/>
                <w:szCs w:val="26"/>
              </w:rPr>
              <w:t xml:space="preserve">Kā arī ar 2013.gadu atceļas aizliegums izmaksāt prēmiju par ikgadējo darbības un tās rezultātu novērtējumu, līdz ar to šo prēmiju varēs izmantot darbinieku motivēšanai, maksimālais prēmijas apmērs ir līdz 75% no mēnešalgas. Šie maksājumi nodrošināmi atlīdzības fonda ietvaros. </w:t>
            </w:r>
          </w:p>
          <w:p w:rsidR="00255B42" w:rsidRPr="0005709F" w:rsidRDefault="00AF5463" w:rsidP="00255B42">
            <w:pPr>
              <w:autoSpaceDE w:val="0"/>
              <w:autoSpaceDN w:val="0"/>
              <w:adjustRightInd w:val="0"/>
              <w:ind w:firstLine="567"/>
              <w:jc w:val="both"/>
              <w:rPr>
                <w:rFonts w:cs="Arial"/>
                <w:color w:val="000000"/>
                <w:sz w:val="26"/>
                <w:szCs w:val="26"/>
              </w:rPr>
            </w:pPr>
            <w:r w:rsidRPr="0005709F">
              <w:rPr>
                <w:rFonts w:cs="Arial"/>
                <w:color w:val="000000"/>
                <w:sz w:val="26"/>
                <w:szCs w:val="26"/>
              </w:rPr>
              <w:t xml:space="preserve">2013.gadā, tāpat kā </w:t>
            </w:r>
            <w:r w:rsidR="00255B42" w:rsidRPr="0005709F">
              <w:rPr>
                <w:rFonts w:cs="Arial"/>
                <w:color w:val="000000"/>
                <w:sz w:val="26"/>
                <w:szCs w:val="26"/>
              </w:rPr>
              <w:t>2012.gadā</w:t>
            </w:r>
            <w:r w:rsidRPr="0005709F">
              <w:rPr>
                <w:rFonts w:cs="Arial"/>
                <w:color w:val="000000"/>
                <w:sz w:val="26"/>
                <w:szCs w:val="26"/>
              </w:rPr>
              <w:t>, paredzēta</w:t>
            </w:r>
            <w:r w:rsidR="00255B42" w:rsidRPr="0005709F">
              <w:rPr>
                <w:rFonts w:cs="Arial"/>
                <w:color w:val="000000"/>
                <w:sz w:val="26"/>
                <w:szCs w:val="26"/>
              </w:rPr>
              <w:t xml:space="preserve"> iespēj</w:t>
            </w:r>
            <w:r w:rsidRPr="0005709F">
              <w:rPr>
                <w:rFonts w:cs="Arial"/>
                <w:color w:val="000000"/>
                <w:sz w:val="26"/>
                <w:szCs w:val="26"/>
              </w:rPr>
              <w:t>a</w:t>
            </w:r>
            <w:r w:rsidR="00255B42" w:rsidRPr="0005709F">
              <w:rPr>
                <w:rFonts w:cs="Arial"/>
                <w:color w:val="000000"/>
                <w:sz w:val="26"/>
                <w:szCs w:val="26"/>
              </w:rPr>
              <w:t xml:space="preserve"> izmaksāt prēmiju atsevišķ</w:t>
            </w:r>
            <w:r w:rsidRPr="0005709F">
              <w:rPr>
                <w:rFonts w:cs="Arial"/>
                <w:color w:val="000000"/>
                <w:sz w:val="26"/>
                <w:szCs w:val="26"/>
              </w:rPr>
              <w:t>u</w:t>
            </w:r>
            <w:r w:rsidR="00255B42" w:rsidRPr="0005709F">
              <w:rPr>
                <w:rFonts w:cs="Arial"/>
                <w:color w:val="000000"/>
                <w:sz w:val="26"/>
                <w:szCs w:val="26"/>
              </w:rPr>
              <w:t xml:space="preserve"> valsts institūcij</w:t>
            </w:r>
            <w:r w:rsidRPr="0005709F">
              <w:rPr>
                <w:rFonts w:cs="Arial"/>
                <w:color w:val="000000"/>
                <w:sz w:val="26"/>
                <w:szCs w:val="26"/>
              </w:rPr>
              <w:t>u amatpersonām (darbiniekiem)</w:t>
            </w:r>
            <w:r w:rsidR="00255B42" w:rsidRPr="0005709F">
              <w:rPr>
                <w:rFonts w:cs="Arial"/>
                <w:color w:val="000000"/>
                <w:sz w:val="26"/>
                <w:szCs w:val="26"/>
              </w:rPr>
              <w:t xml:space="preserve">, </w:t>
            </w:r>
            <w:r w:rsidRPr="0005709F">
              <w:rPr>
                <w:rFonts w:cs="Arial"/>
                <w:color w:val="000000"/>
                <w:sz w:val="26"/>
                <w:szCs w:val="26"/>
              </w:rPr>
              <w:t xml:space="preserve">ja viņu darbības rezultātā ir būtiski uzlabota situācija ēnu ekonomikas apkarošanā un godīgas konkurences veicināšanā. </w:t>
            </w:r>
            <w:r w:rsidR="00255B42" w:rsidRPr="0005709F">
              <w:rPr>
                <w:rFonts w:cs="Arial"/>
                <w:color w:val="000000"/>
                <w:sz w:val="26"/>
                <w:szCs w:val="26"/>
              </w:rPr>
              <w:t xml:space="preserve"> </w:t>
            </w:r>
          </w:p>
          <w:p w:rsidR="00664FFF" w:rsidRPr="0005709F" w:rsidRDefault="000A2810" w:rsidP="00664FFF">
            <w:pPr>
              <w:autoSpaceDE w:val="0"/>
              <w:autoSpaceDN w:val="0"/>
              <w:adjustRightInd w:val="0"/>
              <w:ind w:firstLine="567"/>
              <w:jc w:val="both"/>
              <w:rPr>
                <w:rFonts w:cs="Arial"/>
                <w:color w:val="000000"/>
                <w:sz w:val="26"/>
                <w:szCs w:val="26"/>
              </w:rPr>
            </w:pPr>
            <w:r w:rsidRPr="0005709F">
              <w:rPr>
                <w:rFonts w:cs="Arial"/>
                <w:color w:val="000000"/>
                <w:sz w:val="26"/>
                <w:szCs w:val="26"/>
              </w:rPr>
              <w:t>2013.gadā</w:t>
            </w:r>
            <w:r w:rsidR="00664FFF" w:rsidRPr="0005709F">
              <w:rPr>
                <w:rFonts w:cs="Arial"/>
                <w:color w:val="000000"/>
                <w:sz w:val="26"/>
                <w:szCs w:val="26"/>
              </w:rPr>
              <w:t xml:space="preserve"> paredz</w:t>
            </w:r>
            <w:r w:rsidRPr="0005709F">
              <w:rPr>
                <w:rFonts w:cs="Arial"/>
                <w:color w:val="000000"/>
                <w:sz w:val="26"/>
                <w:szCs w:val="26"/>
              </w:rPr>
              <w:t>ēta</w:t>
            </w:r>
            <w:r w:rsidR="00664FFF" w:rsidRPr="0005709F">
              <w:rPr>
                <w:rFonts w:cs="Arial"/>
                <w:color w:val="000000"/>
                <w:sz w:val="26"/>
                <w:szCs w:val="26"/>
              </w:rPr>
              <w:t xml:space="preserve"> iespēj</w:t>
            </w:r>
            <w:r w:rsidRPr="0005709F">
              <w:rPr>
                <w:rFonts w:cs="Arial"/>
                <w:color w:val="000000"/>
                <w:sz w:val="26"/>
                <w:szCs w:val="26"/>
              </w:rPr>
              <w:t>a prēmēt</w:t>
            </w:r>
            <w:r w:rsidR="00664FFF" w:rsidRPr="0005709F">
              <w:rPr>
                <w:rFonts w:cs="Arial"/>
                <w:color w:val="000000"/>
                <w:sz w:val="26"/>
                <w:szCs w:val="26"/>
              </w:rPr>
              <w:t xml:space="preserve"> Valsts kases amatpersonas (darbiniekus) par ieguldījumu </w:t>
            </w:r>
            <w:r w:rsidR="00664FFF" w:rsidRPr="0005709F">
              <w:rPr>
                <w:sz w:val="26"/>
                <w:szCs w:val="26"/>
              </w:rPr>
              <w:t xml:space="preserve"> </w:t>
            </w:r>
            <w:r w:rsidR="00664FFF" w:rsidRPr="0005709F">
              <w:rPr>
                <w:rFonts w:cs="Arial"/>
                <w:color w:val="000000"/>
                <w:sz w:val="26"/>
                <w:szCs w:val="26"/>
              </w:rPr>
              <w:t xml:space="preserve">valsts budžeta izdevumu samazināšanā, nodrošinot efektīvu valsts parāda vadību. </w:t>
            </w:r>
            <w:r w:rsidRPr="0005709F">
              <w:rPr>
                <w:rFonts w:cs="Arial"/>
                <w:color w:val="000000"/>
                <w:sz w:val="26"/>
                <w:szCs w:val="26"/>
              </w:rPr>
              <w:t>L</w:t>
            </w:r>
            <w:r w:rsidR="00664FFF" w:rsidRPr="0005709F">
              <w:rPr>
                <w:rFonts w:cs="Arial"/>
                <w:color w:val="000000"/>
                <w:sz w:val="26"/>
                <w:szCs w:val="26"/>
              </w:rPr>
              <w:t>ēmumu par Valsts kases amatpersonu (darbinieku) prēm</w:t>
            </w:r>
            <w:r w:rsidR="007D717B" w:rsidRPr="0005709F">
              <w:rPr>
                <w:rFonts w:cs="Arial"/>
                <w:color w:val="000000"/>
                <w:sz w:val="26"/>
                <w:szCs w:val="26"/>
              </w:rPr>
              <w:t xml:space="preserve">ēšanu pieņems Ministru kabinets, pamatojoties uz Finanšu ministrijas sniegto informāciju par veiktajiem pasākumiem valsts parāda vadības </w:t>
            </w:r>
            <w:proofErr w:type="spellStart"/>
            <w:r w:rsidR="007D717B" w:rsidRPr="0005709F">
              <w:rPr>
                <w:rFonts w:cs="Arial"/>
                <w:color w:val="000000"/>
                <w:sz w:val="26"/>
                <w:szCs w:val="26"/>
              </w:rPr>
              <w:t>efektivizēšanai</w:t>
            </w:r>
            <w:proofErr w:type="spellEnd"/>
            <w:r w:rsidR="007D717B" w:rsidRPr="0005709F">
              <w:rPr>
                <w:rFonts w:cs="Arial"/>
                <w:color w:val="000000"/>
                <w:sz w:val="26"/>
                <w:szCs w:val="26"/>
              </w:rPr>
              <w:t>.</w:t>
            </w:r>
          </w:p>
          <w:p w:rsidR="00CD795B" w:rsidRPr="0005709F" w:rsidRDefault="006B032D" w:rsidP="00664FFF">
            <w:pPr>
              <w:autoSpaceDE w:val="0"/>
              <w:autoSpaceDN w:val="0"/>
              <w:adjustRightInd w:val="0"/>
              <w:ind w:firstLine="567"/>
              <w:jc w:val="both"/>
              <w:rPr>
                <w:rFonts w:cs="Arial"/>
                <w:b/>
                <w:color w:val="000000"/>
                <w:sz w:val="26"/>
                <w:szCs w:val="26"/>
              </w:rPr>
            </w:pPr>
            <w:r w:rsidRPr="0005709F">
              <w:rPr>
                <w:sz w:val="26"/>
                <w:szCs w:val="26"/>
              </w:rPr>
              <w:t>2013.gadā paredzēta iespēja prēmēt arī pārējo valsts un pašvaldību institūciju amatpersonas un darbiniekus</w:t>
            </w:r>
            <w:r w:rsidRPr="0005709F">
              <w:t xml:space="preserve"> </w:t>
            </w:r>
            <w:r w:rsidRPr="0005709F">
              <w:rPr>
                <w:sz w:val="26"/>
                <w:szCs w:val="26"/>
              </w:rPr>
              <w:t>gadījumos, ja ir uzlaboti attiecīgo institūciju darbības izpildes rādītāji</w:t>
            </w:r>
            <w:r w:rsidR="000D1D5A" w:rsidRPr="0005709F">
              <w:rPr>
                <w:sz w:val="26"/>
                <w:szCs w:val="26"/>
              </w:rPr>
              <w:t xml:space="preserve"> vai </w:t>
            </w:r>
            <w:r w:rsidR="000D1D5A" w:rsidRPr="0005709F">
              <w:t xml:space="preserve"> </w:t>
            </w:r>
            <w:r w:rsidR="000D1D5A" w:rsidRPr="0005709F">
              <w:rPr>
                <w:sz w:val="26"/>
                <w:szCs w:val="26"/>
              </w:rPr>
              <w:t>ir nodrošināta valsts vai pašvaldību  budžeta izdevumu samazināšana</w:t>
            </w:r>
            <w:r w:rsidRPr="0005709F">
              <w:rPr>
                <w:sz w:val="26"/>
                <w:szCs w:val="26"/>
              </w:rPr>
              <w:t>.</w:t>
            </w:r>
            <w:r w:rsidRPr="0005709F">
              <w:rPr>
                <w:rFonts w:cs="Arial"/>
                <w:color w:val="000000"/>
                <w:sz w:val="26"/>
                <w:szCs w:val="26"/>
              </w:rPr>
              <w:t xml:space="preserve"> Paredzēts, ka lēmumu par amatpersonu (darbinieku) prēm</w:t>
            </w:r>
            <w:r w:rsidR="000D1D5A" w:rsidRPr="0005709F">
              <w:rPr>
                <w:rFonts w:cs="Arial"/>
                <w:color w:val="000000"/>
                <w:sz w:val="26"/>
                <w:szCs w:val="26"/>
              </w:rPr>
              <w:t>ēšanu pieņems Ministru kabinets</w:t>
            </w:r>
            <w:r w:rsidRPr="0005709F">
              <w:rPr>
                <w:rFonts w:cs="Arial"/>
                <w:color w:val="000000"/>
                <w:sz w:val="26"/>
                <w:szCs w:val="26"/>
              </w:rPr>
              <w:t xml:space="preserve"> vai </w:t>
            </w:r>
            <w:r w:rsidRPr="0005709F">
              <w:t xml:space="preserve"> </w:t>
            </w:r>
            <w:r w:rsidRPr="0005709F">
              <w:rPr>
                <w:rFonts w:cs="Arial"/>
                <w:color w:val="000000"/>
                <w:sz w:val="26"/>
                <w:szCs w:val="26"/>
              </w:rPr>
              <w:t>pašvaldības dome</w:t>
            </w:r>
            <w:r w:rsidR="000D1D5A" w:rsidRPr="0005709F">
              <w:rPr>
                <w:rFonts w:cs="Arial"/>
                <w:color w:val="000000"/>
                <w:sz w:val="26"/>
                <w:szCs w:val="26"/>
              </w:rPr>
              <w:t>,</w:t>
            </w:r>
            <w:r w:rsidRPr="0005709F">
              <w:rPr>
                <w:rFonts w:cs="Arial"/>
                <w:color w:val="000000"/>
                <w:sz w:val="26"/>
                <w:szCs w:val="26"/>
              </w:rPr>
              <w:t xml:space="preserve"> pamatojoties uz rādītājiem par 2013.gada pirmo deviņu mēnešu faktisko izpildi.</w:t>
            </w:r>
            <w:r w:rsidR="000D1D5A" w:rsidRPr="0005709F">
              <w:rPr>
                <w:rFonts w:cs="Arial"/>
                <w:color w:val="000000"/>
                <w:sz w:val="26"/>
                <w:szCs w:val="26"/>
              </w:rPr>
              <w:t xml:space="preserve"> </w:t>
            </w:r>
          </w:p>
          <w:p w:rsidR="00C742FB" w:rsidRPr="0005709F" w:rsidRDefault="00C742FB" w:rsidP="00664FFF">
            <w:pPr>
              <w:autoSpaceDE w:val="0"/>
              <w:autoSpaceDN w:val="0"/>
              <w:adjustRightInd w:val="0"/>
              <w:ind w:firstLine="567"/>
              <w:jc w:val="both"/>
              <w:rPr>
                <w:rFonts w:cs="Arial"/>
                <w:color w:val="000000"/>
                <w:sz w:val="26"/>
                <w:szCs w:val="26"/>
              </w:rPr>
            </w:pPr>
            <w:r w:rsidRPr="0005709F">
              <w:rPr>
                <w:rFonts w:cs="Arial"/>
                <w:color w:val="000000"/>
                <w:sz w:val="26"/>
                <w:szCs w:val="26"/>
              </w:rPr>
              <w:t xml:space="preserve"> Lai nodrošinātu, ka attiecībā uz Valsts probācijas dienesta amatpersonām (darbiniekiem),  kuras amata pienākumu veikšanas laikā ir pakļautas dzīvības vai veselības apdraudējumam, ir ievērots tiesiskās vienlīdzības princips, paredzēts līdzīgi kā citām amatpersonā, kuras pakļautas riskam, noteikt obligāto veselības apdrošināšanu.    </w:t>
            </w:r>
          </w:p>
          <w:p w:rsidR="003D76A5" w:rsidRPr="0005709F" w:rsidRDefault="008B45A7" w:rsidP="00072B07">
            <w:pPr>
              <w:autoSpaceDE w:val="0"/>
              <w:autoSpaceDN w:val="0"/>
              <w:adjustRightInd w:val="0"/>
              <w:ind w:firstLine="567"/>
              <w:jc w:val="both"/>
              <w:rPr>
                <w:rFonts w:cs="Arial"/>
                <w:color w:val="000000"/>
                <w:sz w:val="26"/>
                <w:szCs w:val="26"/>
              </w:rPr>
            </w:pPr>
            <w:r w:rsidRPr="0005709F">
              <w:rPr>
                <w:rFonts w:cs="Arial"/>
                <w:color w:val="000000"/>
                <w:sz w:val="26"/>
                <w:szCs w:val="26"/>
              </w:rPr>
              <w:t>L</w:t>
            </w:r>
            <w:r w:rsidR="003D76A5" w:rsidRPr="0005709F">
              <w:rPr>
                <w:rFonts w:cs="Arial"/>
                <w:color w:val="000000"/>
                <w:sz w:val="26"/>
                <w:szCs w:val="26"/>
              </w:rPr>
              <w:t>ikum</w:t>
            </w:r>
            <w:r w:rsidR="002A02AE" w:rsidRPr="0005709F">
              <w:rPr>
                <w:rFonts w:cs="Arial"/>
                <w:color w:val="000000"/>
                <w:sz w:val="26"/>
                <w:szCs w:val="26"/>
              </w:rPr>
              <w:t>projekts</w:t>
            </w:r>
            <w:r w:rsidR="003D76A5" w:rsidRPr="0005709F">
              <w:rPr>
                <w:rFonts w:cs="Arial"/>
                <w:color w:val="000000"/>
                <w:sz w:val="26"/>
                <w:szCs w:val="26"/>
              </w:rPr>
              <w:t xml:space="preserve"> </w:t>
            </w:r>
            <w:r w:rsidRPr="0005709F">
              <w:rPr>
                <w:rFonts w:cs="Arial"/>
                <w:color w:val="000000"/>
                <w:sz w:val="26"/>
                <w:szCs w:val="26"/>
              </w:rPr>
              <w:t>paredz</w:t>
            </w:r>
            <w:r w:rsidR="003D76A5" w:rsidRPr="0005709F">
              <w:rPr>
                <w:rFonts w:cs="Arial"/>
                <w:color w:val="000000"/>
                <w:sz w:val="26"/>
                <w:szCs w:val="26"/>
              </w:rPr>
              <w:t xml:space="preserve">, ka </w:t>
            </w:r>
            <w:r w:rsidR="003D76A5" w:rsidRPr="0005709F">
              <w:rPr>
                <w:rFonts w:eastAsiaTheme="minorHAnsi"/>
                <w:color w:val="000000"/>
                <w:sz w:val="26"/>
                <w:szCs w:val="26"/>
              </w:rPr>
              <w:t>Transporta nelaimes gadījumu izmeklēšanas biroja</w:t>
            </w:r>
            <w:r w:rsidR="003D76A5" w:rsidRPr="0005709F">
              <w:rPr>
                <w:rFonts w:cs="Arial"/>
                <w:color w:val="000000"/>
                <w:sz w:val="26"/>
                <w:szCs w:val="26"/>
              </w:rPr>
              <w:t xml:space="preserve"> </w:t>
            </w:r>
            <w:r w:rsidR="00AD77C6" w:rsidRPr="0005709F">
              <w:rPr>
                <w:rFonts w:cs="Arial"/>
                <w:color w:val="000000"/>
                <w:sz w:val="26"/>
                <w:szCs w:val="26"/>
              </w:rPr>
              <w:t>izmeklētāji</w:t>
            </w:r>
            <w:r w:rsidR="003D76A5" w:rsidRPr="0005709F">
              <w:rPr>
                <w:rFonts w:cs="Arial"/>
                <w:color w:val="000000"/>
                <w:sz w:val="26"/>
                <w:szCs w:val="26"/>
              </w:rPr>
              <w:t>, kur</w:t>
            </w:r>
            <w:r w:rsidR="00AD77C6" w:rsidRPr="0005709F">
              <w:rPr>
                <w:rFonts w:cs="Arial"/>
                <w:color w:val="000000"/>
                <w:sz w:val="26"/>
                <w:szCs w:val="26"/>
              </w:rPr>
              <w:t>i</w:t>
            </w:r>
            <w:r w:rsidRPr="0005709F">
              <w:rPr>
                <w:rFonts w:cs="Arial"/>
                <w:color w:val="000000"/>
                <w:sz w:val="26"/>
                <w:szCs w:val="26"/>
              </w:rPr>
              <w:t>,</w:t>
            </w:r>
            <w:r w:rsidR="003D76A5" w:rsidRPr="0005709F">
              <w:rPr>
                <w:rFonts w:cs="Arial"/>
                <w:color w:val="000000"/>
                <w:sz w:val="26"/>
                <w:szCs w:val="26"/>
              </w:rPr>
              <w:t xml:space="preserve"> veicot ikdienas pienākumus</w:t>
            </w:r>
            <w:r w:rsidRPr="0005709F">
              <w:rPr>
                <w:rFonts w:cs="Arial"/>
                <w:color w:val="000000"/>
                <w:sz w:val="26"/>
                <w:szCs w:val="26"/>
              </w:rPr>
              <w:t>,</w:t>
            </w:r>
            <w:r w:rsidR="003D76A5" w:rsidRPr="0005709F">
              <w:rPr>
                <w:rFonts w:cs="Arial"/>
                <w:color w:val="000000"/>
                <w:sz w:val="26"/>
                <w:szCs w:val="26"/>
              </w:rPr>
              <w:t xml:space="preserve"> var tikt pakļaut</w:t>
            </w:r>
            <w:r w:rsidR="00AD77C6" w:rsidRPr="0005709F">
              <w:rPr>
                <w:rFonts w:cs="Arial"/>
                <w:color w:val="000000"/>
                <w:sz w:val="26"/>
                <w:szCs w:val="26"/>
              </w:rPr>
              <w:t>i</w:t>
            </w:r>
            <w:r w:rsidR="003D76A5" w:rsidRPr="0005709F">
              <w:rPr>
                <w:rFonts w:cs="Arial"/>
                <w:color w:val="000000"/>
                <w:sz w:val="26"/>
                <w:szCs w:val="26"/>
              </w:rPr>
              <w:t xml:space="preserve"> veselības vai dzīvības apdraudējumam, tiek apdrošināt</w:t>
            </w:r>
            <w:r w:rsidR="00AD77C6" w:rsidRPr="0005709F">
              <w:rPr>
                <w:rFonts w:cs="Arial"/>
                <w:color w:val="000000"/>
                <w:sz w:val="26"/>
                <w:szCs w:val="26"/>
              </w:rPr>
              <w:t>i</w:t>
            </w:r>
            <w:r w:rsidR="003D76A5" w:rsidRPr="0005709F">
              <w:rPr>
                <w:rFonts w:cs="Arial"/>
                <w:color w:val="000000"/>
                <w:sz w:val="26"/>
                <w:szCs w:val="26"/>
              </w:rPr>
              <w:t xml:space="preserve"> pret nelaimes gadījumiem, kuri var notikt </w:t>
            </w:r>
            <w:r w:rsidR="003D76A5" w:rsidRPr="0005709F">
              <w:rPr>
                <w:sz w:val="26"/>
                <w:szCs w:val="26"/>
              </w:rPr>
              <w:t xml:space="preserve"> </w:t>
            </w:r>
            <w:r w:rsidR="003D76A5" w:rsidRPr="0005709F">
              <w:rPr>
                <w:rFonts w:cs="Arial"/>
                <w:color w:val="000000"/>
                <w:sz w:val="26"/>
                <w:szCs w:val="26"/>
              </w:rPr>
              <w:t>dienesta pienākumu izpildes laikā un vietā.</w:t>
            </w:r>
          </w:p>
          <w:p w:rsidR="00072B07" w:rsidRPr="0005709F" w:rsidRDefault="002A02AE" w:rsidP="00072B07">
            <w:pPr>
              <w:autoSpaceDE w:val="0"/>
              <w:autoSpaceDN w:val="0"/>
              <w:adjustRightInd w:val="0"/>
              <w:ind w:firstLine="567"/>
              <w:jc w:val="both"/>
              <w:rPr>
                <w:rFonts w:cs="Arial"/>
                <w:color w:val="000000"/>
                <w:sz w:val="26"/>
                <w:szCs w:val="26"/>
              </w:rPr>
            </w:pPr>
            <w:r w:rsidRPr="0005709F">
              <w:rPr>
                <w:rFonts w:cs="Arial"/>
                <w:color w:val="000000"/>
                <w:sz w:val="26"/>
                <w:szCs w:val="26"/>
              </w:rPr>
              <w:t>Likumprojekts paredz</w:t>
            </w:r>
            <w:r w:rsidR="00072B07" w:rsidRPr="0005709F">
              <w:rPr>
                <w:rFonts w:cs="Arial"/>
                <w:color w:val="000000"/>
                <w:sz w:val="26"/>
                <w:szCs w:val="26"/>
              </w:rPr>
              <w:t>, ka karavīram, kurš nepārtraukti nodienējis piecus gadus, bet kuram līdz profesionālā dienesta līguma termiņa beigām jādien vairāk par vienu gadu, izdienas pabalsts tiks izmaksās līdz ar piecu gadu izdienas sasniegšanu. Savukārt karavīram, kurš nepārtraukti nodienējis piecus gadus, bet līdz profesionālā dienesta līguma termiņa beigām jādien mazāk par gadu, šo pabalstu saņems pēc profesionālā dienesta līguma termiņa pagarināšanas. Tādējādi tiks saglabāts izdienas pabalsta izmaksas mērķis – karavīru motivācija turpināt profesionālo dienestu. Vienlaikus tiks nepārprotami noteikts, ka izdienas pabalsta saņemšanai pantā paredzētais laiks jānodien bez pārtraukumiem.</w:t>
            </w:r>
          </w:p>
          <w:p w:rsidR="006662C3" w:rsidRPr="0005709F" w:rsidRDefault="00726E0D" w:rsidP="006662C3">
            <w:pPr>
              <w:autoSpaceDE w:val="0"/>
              <w:autoSpaceDN w:val="0"/>
              <w:adjustRightInd w:val="0"/>
              <w:ind w:firstLine="567"/>
              <w:jc w:val="both"/>
              <w:rPr>
                <w:rFonts w:cs="Arial"/>
                <w:color w:val="000000"/>
                <w:sz w:val="26"/>
                <w:szCs w:val="26"/>
              </w:rPr>
            </w:pPr>
            <w:r w:rsidRPr="0005709F">
              <w:rPr>
                <w:rFonts w:cs="Arial"/>
                <w:color w:val="000000"/>
                <w:sz w:val="26"/>
                <w:szCs w:val="26"/>
              </w:rPr>
              <w:lastRenderedPageBreak/>
              <w:t xml:space="preserve">Likumprojekts paredz aizstāt piemaksas par tiesnešu kvalifikācijas klasēm ar piemaksām par </w:t>
            </w:r>
            <w:r w:rsidR="0089189A" w:rsidRPr="0005709F">
              <w:rPr>
                <w:rFonts w:cs="Arial"/>
                <w:color w:val="000000"/>
                <w:sz w:val="26"/>
                <w:szCs w:val="26"/>
              </w:rPr>
              <w:t>tiesneša amatā nostrādāto laiku. Tiesnesis</w:t>
            </w:r>
            <w:r w:rsidR="000E27A8" w:rsidRPr="0005709F">
              <w:rPr>
                <w:rFonts w:cs="Arial"/>
                <w:color w:val="000000"/>
                <w:sz w:val="26"/>
                <w:szCs w:val="26"/>
              </w:rPr>
              <w:t>,  izņemot Satversmes tiesas  tiesnesi, ņemot vērā</w:t>
            </w:r>
            <w:r w:rsidR="000E27A8" w:rsidRPr="0005709F">
              <w:t xml:space="preserve"> </w:t>
            </w:r>
            <w:r w:rsidR="000E27A8" w:rsidRPr="0005709F">
              <w:rPr>
                <w:rFonts w:cs="Arial"/>
                <w:color w:val="000000"/>
                <w:sz w:val="26"/>
                <w:szCs w:val="26"/>
              </w:rPr>
              <w:t xml:space="preserve">tiesneša amatā nostrādāto laiku saņem </w:t>
            </w:r>
            <w:r w:rsidR="0089189A" w:rsidRPr="0005709F">
              <w:rPr>
                <w:rFonts w:cs="Arial"/>
                <w:color w:val="000000"/>
                <w:sz w:val="26"/>
                <w:szCs w:val="26"/>
              </w:rPr>
              <w:t>piemaksu, ja</w:t>
            </w:r>
            <w:r w:rsidRPr="0005709F">
              <w:rPr>
                <w:rFonts w:cs="Arial"/>
                <w:color w:val="000000"/>
                <w:sz w:val="26"/>
                <w:szCs w:val="26"/>
              </w:rPr>
              <w:t xml:space="preserve"> tiesnesis tiesneša profesionālās darbības kārtējā novērtēšanā saņēmis pozitīvu atzinumu</w:t>
            </w:r>
            <w:r w:rsidR="004F1FE3" w:rsidRPr="0005709F">
              <w:rPr>
                <w:rFonts w:cs="Arial"/>
                <w:color w:val="000000"/>
                <w:sz w:val="26"/>
                <w:szCs w:val="26"/>
              </w:rPr>
              <w:t xml:space="preserve">. </w:t>
            </w:r>
            <w:r w:rsidR="002D344A" w:rsidRPr="0005709F">
              <w:t xml:space="preserve"> </w:t>
            </w:r>
            <w:r w:rsidR="002D344A" w:rsidRPr="0005709F">
              <w:rPr>
                <w:rFonts w:cs="Arial"/>
                <w:color w:val="000000"/>
                <w:sz w:val="26"/>
                <w:szCs w:val="26"/>
              </w:rPr>
              <w:t>Paredzēts, ka, aprēķinot laiku, par kuru tiesnesim piešķirama piemaksa par tiesneša amatā nostrādāto laiku, tajā ieska</w:t>
            </w:r>
            <w:r w:rsidR="00437B7E" w:rsidRPr="0005709F">
              <w:rPr>
                <w:rFonts w:cs="Arial"/>
                <w:color w:val="000000"/>
                <w:sz w:val="26"/>
                <w:szCs w:val="26"/>
              </w:rPr>
              <w:t>i</w:t>
            </w:r>
            <w:r w:rsidR="002D344A" w:rsidRPr="0005709F">
              <w:rPr>
                <w:rFonts w:cs="Arial"/>
                <w:color w:val="000000"/>
                <w:sz w:val="26"/>
                <w:szCs w:val="26"/>
              </w:rPr>
              <w:t>ta arī laiku, ko tiesnesis pirms iecelšanas vai apstiprināšanas amatā nostrādājis zvērināta advokāta, prokurora, Satversmes tiesas tiesneša, starptautiskās tiesas tiesneša vai pārnacionālās tiesas tiesneša amatā, attiecinot šo normu uz tiesnešiem, kuri tiks iecelti vai apstiprināti amatā pēc 2013.gada 1.janvāra.</w:t>
            </w:r>
            <w:r w:rsidR="006662C3" w:rsidRPr="0005709F">
              <w:t xml:space="preserve"> </w:t>
            </w:r>
            <w:r w:rsidR="006662C3" w:rsidRPr="0005709F">
              <w:rPr>
                <w:rFonts w:cs="Arial"/>
                <w:color w:val="000000"/>
                <w:sz w:val="26"/>
                <w:szCs w:val="26"/>
              </w:rPr>
              <w:t xml:space="preserve">Normas, kas saistītas ar piemaksu noteikšanu par tiesneša amatā nostrādāto laiku, stāsies spēkā 2013.gada 1.janvārī, </w:t>
            </w:r>
            <w:proofErr w:type="spellStart"/>
            <w:r w:rsidR="006662C3" w:rsidRPr="0005709F">
              <w:rPr>
                <w:rFonts w:cs="Arial"/>
                <w:color w:val="000000"/>
                <w:sz w:val="26"/>
                <w:szCs w:val="26"/>
              </w:rPr>
              <w:t>t.i</w:t>
            </w:r>
            <w:proofErr w:type="spellEnd"/>
            <w:r w:rsidR="006662C3" w:rsidRPr="0005709F">
              <w:rPr>
                <w:rFonts w:cs="Arial"/>
                <w:color w:val="000000"/>
                <w:sz w:val="26"/>
                <w:szCs w:val="26"/>
              </w:rPr>
              <w:t>. vienlaikus ar grozījumiem likumā „Par tiesu varu”, kas paredz tiesnešu profesionālās darbības novērtēšanas ieviešanu.</w:t>
            </w:r>
          </w:p>
          <w:p w:rsidR="00726E0D" w:rsidRPr="0005709F" w:rsidRDefault="00F9298B" w:rsidP="006662C3">
            <w:pPr>
              <w:autoSpaceDE w:val="0"/>
              <w:autoSpaceDN w:val="0"/>
              <w:adjustRightInd w:val="0"/>
              <w:ind w:firstLine="567"/>
              <w:jc w:val="both"/>
              <w:rPr>
                <w:rFonts w:cs="Arial"/>
                <w:color w:val="000000"/>
                <w:sz w:val="26"/>
                <w:szCs w:val="26"/>
              </w:rPr>
            </w:pPr>
            <w:r w:rsidRPr="0005709F">
              <w:rPr>
                <w:rFonts w:cs="Arial"/>
                <w:color w:val="000000"/>
                <w:sz w:val="26"/>
                <w:szCs w:val="26"/>
              </w:rPr>
              <w:t>P</w:t>
            </w:r>
            <w:r w:rsidR="006662C3" w:rsidRPr="0005709F">
              <w:rPr>
                <w:rFonts w:cs="Arial"/>
                <w:color w:val="000000"/>
                <w:sz w:val="26"/>
                <w:szCs w:val="26"/>
              </w:rPr>
              <w:t xml:space="preserve">aredzēts, ka tiesnešiem, kuriem līdz 2013.gada 1.janvārim piešķirta piemaksa par kvalifikācijas klasi, piešķirtās piemaksas apmērs tiks saglabāts, taču šis piemaksas apmērs nevarēs pārsniegt 35 % no tiesneša mēnešalgas. Tādējādi gadījumos, kad tiesnesim līdz 2013.gada 1.janvārim ir piešķirta piemaksa par kvalifikācijas klasi 35 % apmērā no tiesneša mēnešalgas, turpmāk piemaksa par tiesneša amatā nostrādāto laiku netiks </w:t>
            </w:r>
            <w:r w:rsidRPr="0005709F">
              <w:rPr>
                <w:rFonts w:cs="Arial"/>
                <w:color w:val="000000"/>
                <w:sz w:val="26"/>
                <w:szCs w:val="26"/>
              </w:rPr>
              <w:t>paaugstināta</w:t>
            </w:r>
            <w:r w:rsidR="006662C3" w:rsidRPr="0005709F">
              <w:rPr>
                <w:rFonts w:cs="Arial"/>
                <w:color w:val="000000"/>
                <w:sz w:val="26"/>
                <w:szCs w:val="26"/>
              </w:rPr>
              <w:t>.</w:t>
            </w:r>
          </w:p>
          <w:p w:rsidR="00726E0D" w:rsidRPr="0005709F" w:rsidRDefault="00C076DD" w:rsidP="00072B07">
            <w:pPr>
              <w:autoSpaceDE w:val="0"/>
              <w:autoSpaceDN w:val="0"/>
              <w:adjustRightInd w:val="0"/>
              <w:ind w:firstLine="567"/>
              <w:jc w:val="both"/>
              <w:rPr>
                <w:rFonts w:cs="Arial"/>
                <w:color w:val="000000"/>
                <w:sz w:val="26"/>
                <w:szCs w:val="26"/>
              </w:rPr>
            </w:pPr>
            <w:r w:rsidRPr="0005709F">
              <w:rPr>
                <w:rFonts w:cs="Arial"/>
                <w:color w:val="000000"/>
                <w:sz w:val="26"/>
                <w:szCs w:val="26"/>
              </w:rPr>
              <w:t>Likumprojekts paredz, ka diplomātam, diplomātiskā un konsulārā dienesta amatpersonai (darbiniekam), kurš pastāvīgi pilda dienestu ārvalstīs, kompensē ceļa izdevumus no dienesta vietas ārvalstīs un atpakaļ, sakarā ar ierašanos uz ģimenes locekļa (laulātā, bērna, vecāku, vecvecāku, adoptētāja vai adoptētā, brāļa vai māsas) vai apgādājamā bērēm. Tādējādi tiks nodrošināts taisnīgs un atbilstošs sociālo garantiju tiesiskais regulējums.</w:t>
            </w:r>
          </w:p>
          <w:p w:rsidR="004E5E1A" w:rsidRPr="0005709F" w:rsidRDefault="00196BF3" w:rsidP="00D21A59">
            <w:pPr>
              <w:autoSpaceDE w:val="0"/>
              <w:autoSpaceDN w:val="0"/>
              <w:adjustRightInd w:val="0"/>
              <w:jc w:val="both"/>
              <w:rPr>
                <w:rFonts w:eastAsiaTheme="minorHAnsi"/>
                <w:color w:val="000000"/>
                <w:sz w:val="26"/>
                <w:szCs w:val="26"/>
              </w:rPr>
            </w:pPr>
            <w:r w:rsidRPr="0005709F">
              <w:rPr>
                <w:rFonts w:eastAsiaTheme="minorHAnsi"/>
                <w:color w:val="000000"/>
                <w:sz w:val="26"/>
                <w:szCs w:val="26"/>
              </w:rPr>
              <w:t xml:space="preserve">  </w:t>
            </w:r>
            <w:r w:rsidR="00594E0B" w:rsidRPr="0005709F">
              <w:rPr>
                <w:rFonts w:eastAsiaTheme="minorHAnsi"/>
                <w:color w:val="000000"/>
                <w:sz w:val="26"/>
                <w:szCs w:val="26"/>
              </w:rPr>
              <w:t xml:space="preserve">      Saistībā ar Latvijas   prezidentūra Eiropas Savienības Padomē 2015.gadā paredzēts noteikt motivācijas sistēmu </w:t>
            </w:r>
            <w:r w:rsidR="00FA18D4" w:rsidRPr="0005709F">
              <w:rPr>
                <w:rFonts w:eastAsiaTheme="minorHAnsi"/>
                <w:color w:val="000000"/>
                <w:sz w:val="26"/>
                <w:szCs w:val="26"/>
              </w:rPr>
              <w:t xml:space="preserve">prezidentūras sagatavošanā un norisē laika periodā no2014.gada 1.jūlija līdz 2015.gada 30.jūnijam iesaistītā </w:t>
            </w:r>
            <w:r w:rsidR="00594E0B" w:rsidRPr="0005709F">
              <w:rPr>
                <w:rFonts w:eastAsiaTheme="minorHAnsi"/>
                <w:color w:val="000000"/>
                <w:sz w:val="26"/>
                <w:szCs w:val="26"/>
              </w:rPr>
              <w:t>personāla motivēšanai</w:t>
            </w:r>
            <w:r w:rsidR="00FA18D4" w:rsidRPr="0005709F">
              <w:rPr>
                <w:rFonts w:eastAsiaTheme="minorHAnsi"/>
                <w:color w:val="000000"/>
                <w:sz w:val="26"/>
                <w:szCs w:val="26"/>
              </w:rPr>
              <w:t xml:space="preserve"> (darba grupu vadītāji, viņu vietnieki, eksperti </w:t>
            </w:r>
            <w:proofErr w:type="spellStart"/>
            <w:r w:rsidR="00FA18D4" w:rsidRPr="0005709F">
              <w:rPr>
                <w:rFonts w:eastAsiaTheme="minorHAnsi"/>
                <w:color w:val="000000"/>
                <w:sz w:val="26"/>
                <w:szCs w:val="26"/>
              </w:rPr>
              <w:t>u.c</w:t>
            </w:r>
            <w:proofErr w:type="spellEnd"/>
            <w:r w:rsidR="00FA18D4" w:rsidRPr="0005709F">
              <w:rPr>
                <w:rFonts w:eastAsiaTheme="minorHAnsi"/>
                <w:color w:val="000000"/>
                <w:sz w:val="26"/>
                <w:szCs w:val="26"/>
              </w:rPr>
              <w:t xml:space="preserve">.) </w:t>
            </w:r>
            <w:r w:rsidR="004E5E1A" w:rsidRPr="0005709F">
              <w:rPr>
                <w:rFonts w:eastAsiaTheme="minorHAnsi"/>
                <w:color w:val="000000"/>
                <w:sz w:val="26"/>
                <w:szCs w:val="26"/>
              </w:rPr>
              <w:t xml:space="preserve"> –</w:t>
            </w:r>
            <w:r w:rsidR="00B55550" w:rsidRPr="0005709F">
              <w:rPr>
                <w:rFonts w:eastAsiaTheme="minorHAnsi"/>
                <w:color w:val="000000"/>
                <w:sz w:val="26"/>
                <w:szCs w:val="26"/>
              </w:rPr>
              <w:t xml:space="preserve"> </w:t>
            </w:r>
            <w:r w:rsidR="004E5E1A" w:rsidRPr="0005709F">
              <w:rPr>
                <w:rFonts w:eastAsiaTheme="minorHAnsi"/>
                <w:color w:val="000000"/>
                <w:sz w:val="26"/>
                <w:szCs w:val="26"/>
              </w:rPr>
              <w:t>piemaksas, prēmijas, papildu atvaļinājumu</w:t>
            </w:r>
            <w:r w:rsidR="00594E0B" w:rsidRPr="0005709F">
              <w:rPr>
                <w:rFonts w:eastAsiaTheme="minorHAnsi"/>
                <w:color w:val="000000"/>
                <w:sz w:val="26"/>
                <w:szCs w:val="26"/>
              </w:rPr>
              <w:t>,</w:t>
            </w:r>
            <w:r w:rsidR="004E5E1A" w:rsidRPr="0005709F">
              <w:rPr>
                <w:rFonts w:eastAsiaTheme="minorHAnsi"/>
                <w:color w:val="000000"/>
                <w:sz w:val="26"/>
                <w:szCs w:val="26"/>
              </w:rPr>
              <w:t xml:space="preserve"> paredzot arī deleģējumu Ministru kabinetam noteikt motivācijas elementu apmērus un izmaksas kārtību.</w:t>
            </w:r>
            <w:r w:rsidR="0020314C" w:rsidRPr="0005709F">
              <w:rPr>
                <w:rFonts w:eastAsiaTheme="minorHAnsi"/>
                <w:color w:val="000000"/>
                <w:sz w:val="26"/>
                <w:szCs w:val="26"/>
              </w:rPr>
              <w:t xml:space="preserve"> </w:t>
            </w:r>
            <w:r w:rsidR="00FA18D4" w:rsidRPr="0005709F">
              <w:rPr>
                <w:rFonts w:eastAsiaTheme="minorHAnsi"/>
                <w:color w:val="000000"/>
                <w:sz w:val="26"/>
                <w:szCs w:val="26"/>
              </w:rPr>
              <w:t>P</w:t>
            </w:r>
            <w:r w:rsidR="0020314C" w:rsidRPr="0005709F">
              <w:rPr>
                <w:rFonts w:eastAsiaTheme="minorHAnsi"/>
                <w:color w:val="000000"/>
                <w:sz w:val="26"/>
                <w:szCs w:val="26"/>
              </w:rPr>
              <w:t>aredzēts arī</w:t>
            </w:r>
            <w:r w:rsidR="00FA18D4" w:rsidRPr="0005709F">
              <w:rPr>
                <w:rFonts w:eastAsiaTheme="minorHAnsi"/>
                <w:color w:val="000000"/>
                <w:sz w:val="26"/>
                <w:szCs w:val="26"/>
              </w:rPr>
              <w:t>,</w:t>
            </w:r>
            <w:r w:rsidR="0020314C" w:rsidRPr="0005709F">
              <w:rPr>
                <w:rFonts w:eastAsiaTheme="minorHAnsi"/>
                <w:color w:val="000000"/>
                <w:sz w:val="26"/>
                <w:szCs w:val="26"/>
              </w:rPr>
              <w:t xml:space="preserve"> </w:t>
            </w:r>
            <w:r w:rsidR="00FA18D4" w:rsidRPr="0005709F">
              <w:rPr>
                <w:rFonts w:eastAsiaTheme="minorHAnsi"/>
                <w:color w:val="000000"/>
                <w:sz w:val="26"/>
                <w:szCs w:val="26"/>
              </w:rPr>
              <w:t>ka 2013.gadā  sākot ar 1.jūliju amatpersona (darbinieks), kura papildus saviem tiešajiem amata pienākumiem pilda ar Latvijas prezidentūras Eiropas Savienības Padomē sagatavošanas nodrošināšanu saistītus pienākumus, var saņemt likuma 14.panta pirmajā daļā noteikto piemaksu</w:t>
            </w:r>
            <w:r w:rsidR="0020314C" w:rsidRPr="0005709F">
              <w:rPr>
                <w:rFonts w:eastAsiaTheme="minorHAnsi"/>
                <w:color w:val="000000"/>
                <w:sz w:val="26"/>
                <w:szCs w:val="26"/>
              </w:rPr>
              <w:t>.</w:t>
            </w:r>
          </w:p>
          <w:p w:rsidR="00207CA2" w:rsidRPr="0005709F" w:rsidRDefault="00F9363E" w:rsidP="00D21A59">
            <w:pPr>
              <w:autoSpaceDE w:val="0"/>
              <w:autoSpaceDN w:val="0"/>
              <w:adjustRightInd w:val="0"/>
              <w:jc w:val="both"/>
              <w:rPr>
                <w:rFonts w:eastAsiaTheme="minorHAnsi"/>
                <w:color w:val="000000"/>
                <w:sz w:val="26"/>
                <w:szCs w:val="26"/>
              </w:rPr>
            </w:pPr>
            <w:r w:rsidRPr="0005709F">
              <w:rPr>
                <w:rFonts w:eastAsiaTheme="minorHAnsi"/>
                <w:color w:val="000000"/>
                <w:sz w:val="26"/>
                <w:szCs w:val="26"/>
              </w:rPr>
              <w:t xml:space="preserve">        </w:t>
            </w:r>
            <w:r w:rsidR="00196BF3" w:rsidRPr="0005709F">
              <w:rPr>
                <w:rFonts w:eastAsiaTheme="minorHAnsi"/>
                <w:color w:val="000000"/>
                <w:sz w:val="26"/>
                <w:szCs w:val="26"/>
              </w:rPr>
              <w:t>Likumprojekts paredz atsevišķus redakcionāla rakstura  precizējumus, lai nodrošinātu likuma normu viennozīmīgu piemērošanu.</w:t>
            </w:r>
          </w:p>
        </w:tc>
      </w:tr>
      <w:tr w:rsidR="00207CA2" w:rsidRPr="00C36F1F" w:rsidTr="009E181A">
        <w:trPr>
          <w:trHeight w:val="476"/>
        </w:trPr>
        <w:tc>
          <w:tcPr>
            <w:tcW w:w="781" w:type="dxa"/>
          </w:tcPr>
          <w:p w:rsidR="00207CA2" w:rsidRPr="00C36F1F" w:rsidRDefault="00207CA2" w:rsidP="00FB2F9B">
            <w:pPr>
              <w:pStyle w:val="naiskr"/>
              <w:spacing w:before="0" w:after="0"/>
              <w:jc w:val="both"/>
              <w:rPr>
                <w:sz w:val="26"/>
                <w:szCs w:val="26"/>
              </w:rPr>
            </w:pPr>
            <w:r w:rsidRPr="00C36F1F">
              <w:rPr>
                <w:sz w:val="26"/>
                <w:szCs w:val="26"/>
              </w:rPr>
              <w:lastRenderedPageBreak/>
              <w:t>5.</w:t>
            </w:r>
          </w:p>
        </w:tc>
        <w:tc>
          <w:tcPr>
            <w:tcW w:w="1629" w:type="dxa"/>
          </w:tcPr>
          <w:p w:rsidR="00207CA2" w:rsidRPr="00C36F1F" w:rsidRDefault="00207CA2" w:rsidP="00FB2F9B">
            <w:pPr>
              <w:pStyle w:val="naiskr"/>
              <w:spacing w:before="0" w:after="0"/>
              <w:jc w:val="both"/>
              <w:rPr>
                <w:sz w:val="26"/>
                <w:szCs w:val="26"/>
              </w:rPr>
            </w:pPr>
            <w:r w:rsidRPr="00C36F1F">
              <w:rPr>
                <w:sz w:val="26"/>
                <w:szCs w:val="26"/>
              </w:rPr>
              <w:t>Projekta izstrādē iesaistītās institūcijas</w:t>
            </w:r>
          </w:p>
        </w:tc>
        <w:tc>
          <w:tcPr>
            <w:tcW w:w="7641" w:type="dxa"/>
          </w:tcPr>
          <w:p w:rsidR="00443CE4" w:rsidRPr="0005709F" w:rsidRDefault="008715DB" w:rsidP="00000DAF">
            <w:pPr>
              <w:pStyle w:val="naiskr"/>
              <w:spacing w:before="0" w:after="0"/>
              <w:jc w:val="both"/>
              <w:rPr>
                <w:sz w:val="26"/>
                <w:szCs w:val="26"/>
              </w:rPr>
            </w:pPr>
            <w:r w:rsidRPr="0005709F">
              <w:rPr>
                <w:sz w:val="26"/>
                <w:szCs w:val="26"/>
              </w:rPr>
              <w:t xml:space="preserve"> </w:t>
            </w:r>
            <w:r w:rsidR="000B0E3F" w:rsidRPr="0005709F">
              <w:rPr>
                <w:sz w:val="26"/>
                <w:szCs w:val="26"/>
              </w:rPr>
              <w:t xml:space="preserve">Projekta izstrādē tika iesaistīti </w:t>
            </w:r>
            <w:r w:rsidR="00A53343" w:rsidRPr="0005709F">
              <w:rPr>
                <w:sz w:val="26"/>
                <w:szCs w:val="26"/>
              </w:rPr>
              <w:t xml:space="preserve"> Tieslietu ministrija,  </w:t>
            </w:r>
            <w:r w:rsidR="00AE77BE" w:rsidRPr="0005709F">
              <w:rPr>
                <w:sz w:val="26"/>
                <w:szCs w:val="26"/>
              </w:rPr>
              <w:t>N</w:t>
            </w:r>
            <w:r w:rsidR="00443CE4" w:rsidRPr="0005709F">
              <w:rPr>
                <w:sz w:val="26"/>
                <w:szCs w:val="26"/>
              </w:rPr>
              <w:t>acionālie bruņotie spēki</w:t>
            </w:r>
            <w:r w:rsidR="00A53343" w:rsidRPr="0005709F">
              <w:rPr>
                <w:sz w:val="26"/>
                <w:szCs w:val="26"/>
              </w:rPr>
              <w:t xml:space="preserve">, </w:t>
            </w:r>
            <w:r w:rsidR="00443CE4" w:rsidRPr="0005709F">
              <w:rPr>
                <w:sz w:val="26"/>
                <w:szCs w:val="26"/>
              </w:rPr>
              <w:t>Transporta nelaimes gadījumu un incidentu izmeklēšanas birojs</w:t>
            </w:r>
            <w:r w:rsidR="00A53343" w:rsidRPr="0005709F">
              <w:rPr>
                <w:sz w:val="26"/>
                <w:szCs w:val="26"/>
              </w:rPr>
              <w:t>,</w:t>
            </w:r>
          </w:p>
          <w:p w:rsidR="00235598" w:rsidRPr="0005709F" w:rsidRDefault="005B13CC" w:rsidP="00235598">
            <w:r w:rsidRPr="0005709F">
              <w:rPr>
                <w:sz w:val="26"/>
                <w:szCs w:val="26"/>
              </w:rPr>
              <w:t>Valsts kanceleja</w:t>
            </w:r>
            <w:r w:rsidR="00A53343" w:rsidRPr="0005709F">
              <w:rPr>
                <w:sz w:val="26"/>
                <w:szCs w:val="26"/>
              </w:rPr>
              <w:t>.</w:t>
            </w:r>
            <w:r w:rsidR="00235598" w:rsidRPr="0005709F">
              <w:t xml:space="preserve"> </w:t>
            </w:r>
          </w:p>
          <w:p w:rsidR="00235598" w:rsidRPr="0005709F" w:rsidRDefault="00235598" w:rsidP="007220FB">
            <w:pPr>
              <w:jc w:val="both"/>
              <w:rPr>
                <w:sz w:val="26"/>
                <w:szCs w:val="26"/>
              </w:rPr>
            </w:pPr>
            <w:r w:rsidRPr="0005709F">
              <w:rPr>
                <w:sz w:val="26"/>
                <w:szCs w:val="26"/>
              </w:rPr>
              <w:t xml:space="preserve">Ar Tieslietu padomes 2012.gada 18.jūnija lēmumu Nr.53 ir atbalstīti Tieslietu ministrijas izstrādātie priekšlikumi par piemaksu par tiesnešu </w:t>
            </w:r>
            <w:r w:rsidRPr="0005709F">
              <w:rPr>
                <w:sz w:val="26"/>
                <w:szCs w:val="26"/>
              </w:rPr>
              <w:lastRenderedPageBreak/>
              <w:t>kvalifikācijas klasēm aizstāšanu ar piemaksu par tiesneša amatā nostrādāto laiku. Tāpat Tieslietu padome nolēma atbalstīt priekšlikumu par to, ka tiesneša amatā nostrādātais laiks skaitāms no brīža, kad tiesnesis ir iecelts amatā, kā arī norādīja, ka priekšlikumos nepieciešams risināt jautājumu par tiesneša amatam radniecīgā profesijā nostrādātā laika pielīdzināšanu tiesneša amatā nostrādātajam laikam</w:t>
            </w:r>
            <w:r w:rsidR="00825468" w:rsidRPr="0005709F">
              <w:rPr>
                <w:sz w:val="26"/>
                <w:szCs w:val="26"/>
              </w:rPr>
              <w:t>.</w:t>
            </w:r>
          </w:p>
          <w:p w:rsidR="005B13CC" w:rsidRPr="0005709F" w:rsidRDefault="005B13CC" w:rsidP="00A53343">
            <w:pPr>
              <w:pStyle w:val="naiskr"/>
              <w:spacing w:before="0" w:after="0"/>
              <w:jc w:val="both"/>
              <w:rPr>
                <w:sz w:val="26"/>
                <w:szCs w:val="26"/>
              </w:rPr>
            </w:pPr>
          </w:p>
        </w:tc>
      </w:tr>
      <w:tr w:rsidR="00207CA2" w:rsidRPr="00C36F1F" w:rsidTr="009E181A">
        <w:trPr>
          <w:trHeight w:val="938"/>
        </w:trPr>
        <w:tc>
          <w:tcPr>
            <w:tcW w:w="781" w:type="dxa"/>
          </w:tcPr>
          <w:p w:rsidR="00207CA2" w:rsidRPr="00C36F1F" w:rsidRDefault="00207CA2" w:rsidP="00FB2F9B">
            <w:pPr>
              <w:pStyle w:val="naiskr"/>
              <w:spacing w:before="0" w:after="0"/>
              <w:jc w:val="both"/>
              <w:rPr>
                <w:sz w:val="26"/>
                <w:szCs w:val="26"/>
              </w:rPr>
            </w:pPr>
            <w:r w:rsidRPr="00C36F1F">
              <w:rPr>
                <w:sz w:val="26"/>
                <w:szCs w:val="26"/>
              </w:rPr>
              <w:lastRenderedPageBreak/>
              <w:t>6.</w:t>
            </w:r>
          </w:p>
        </w:tc>
        <w:tc>
          <w:tcPr>
            <w:tcW w:w="1629" w:type="dxa"/>
          </w:tcPr>
          <w:p w:rsidR="00207CA2" w:rsidRPr="00C36F1F" w:rsidRDefault="00207CA2" w:rsidP="00FB2F9B">
            <w:pPr>
              <w:pStyle w:val="naiskr"/>
              <w:spacing w:before="0" w:after="0"/>
              <w:jc w:val="both"/>
              <w:rPr>
                <w:i/>
                <w:sz w:val="26"/>
                <w:szCs w:val="26"/>
                <w:highlight w:val="yellow"/>
              </w:rPr>
            </w:pPr>
            <w:r w:rsidRPr="00C36F1F">
              <w:rPr>
                <w:sz w:val="26"/>
                <w:szCs w:val="26"/>
              </w:rPr>
              <w:t>Iemesli, kādēļ netika nodrošināta sabiedrības līdzdalība</w:t>
            </w:r>
          </w:p>
        </w:tc>
        <w:tc>
          <w:tcPr>
            <w:tcW w:w="7641" w:type="dxa"/>
          </w:tcPr>
          <w:p w:rsidR="00207CA2" w:rsidRPr="00C36F1F" w:rsidRDefault="008715DB" w:rsidP="00BC44B7">
            <w:pPr>
              <w:pStyle w:val="FootnoteText"/>
              <w:jc w:val="both"/>
              <w:rPr>
                <w:sz w:val="26"/>
                <w:szCs w:val="26"/>
              </w:rPr>
            </w:pPr>
            <w:r w:rsidRPr="00C36F1F">
              <w:rPr>
                <w:color w:val="FF0000"/>
                <w:sz w:val="26"/>
                <w:szCs w:val="26"/>
              </w:rPr>
              <w:t xml:space="preserve"> </w:t>
            </w:r>
            <w:r w:rsidR="00BC44B7" w:rsidRPr="00C36F1F">
              <w:rPr>
                <w:sz w:val="26"/>
                <w:szCs w:val="26"/>
              </w:rPr>
              <w:t>Likumprojektam</w:t>
            </w:r>
            <w:r w:rsidRPr="00C36F1F">
              <w:rPr>
                <w:sz w:val="26"/>
                <w:szCs w:val="26"/>
              </w:rPr>
              <w:t xml:space="preserve"> nav tiešas</w:t>
            </w:r>
            <w:r w:rsidR="00BC44B7" w:rsidRPr="00C36F1F">
              <w:rPr>
                <w:sz w:val="26"/>
                <w:szCs w:val="26"/>
              </w:rPr>
              <w:t xml:space="preserve"> ietekmes uz sabiedrību kopumā.</w:t>
            </w:r>
          </w:p>
        </w:tc>
      </w:tr>
      <w:tr w:rsidR="00207CA2" w:rsidRPr="00C36F1F" w:rsidTr="009E181A">
        <w:tc>
          <w:tcPr>
            <w:tcW w:w="781" w:type="dxa"/>
          </w:tcPr>
          <w:p w:rsidR="00207CA2" w:rsidRPr="00C36F1F" w:rsidRDefault="00207CA2" w:rsidP="00FB2F9B">
            <w:pPr>
              <w:pStyle w:val="naiskr"/>
              <w:spacing w:before="0" w:after="0"/>
              <w:jc w:val="both"/>
              <w:rPr>
                <w:sz w:val="26"/>
                <w:szCs w:val="26"/>
              </w:rPr>
            </w:pPr>
            <w:r w:rsidRPr="00C36F1F">
              <w:rPr>
                <w:sz w:val="26"/>
                <w:szCs w:val="26"/>
              </w:rPr>
              <w:t>7.</w:t>
            </w:r>
          </w:p>
        </w:tc>
        <w:tc>
          <w:tcPr>
            <w:tcW w:w="1629" w:type="dxa"/>
          </w:tcPr>
          <w:p w:rsidR="00207CA2" w:rsidRPr="00C36F1F" w:rsidRDefault="00207CA2" w:rsidP="00FB2F9B">
            <w:pPr>
              <w:pStyle w:val="naiskr"/>
              <w:spacing w:before="0" w:after="0"/>
              <w:jc w:val="both"/>
              <w:rPr>
                <w:sz w:val="26"/>
                <w:szCs w:val="26"/>
              </w:rPr>
            </w:pPr>
            <w:r w:rsidRPr="00C36F1F">
              <w:rPr>
                <w:sz w:val="26"/>
                <w:szCs w:val="26"/>
              </w:rPr>
              <w:t>Cita informācija</w:t>
            </w:r>
          </w:p>
        </w:tc>
        <w:tc>
          <w:tcPr>
            <w:tcW w:w="7641" w:type="dxa"/>
          </w:tcPr>
          <w:p w:rsidR="00207CA2" w:rsidRPr="00C36F1F" w:rsidRDefault="00207CA2" w:rsidP="00FB2F9B">
            <w:pPr>
              <w:pStyle w:val="naiskr"/>
              <w:spacing w:before="0" w:after="0"/>
              <w:jc w:val="both"/>
              <w:rPr>
                <w:sz w:val="26"/>
                <w:szCs w:val="26"/>
              </w:rPr>
            </w:pPr>
            <w:r w:rsidRPr="00C36F1F">
              <w:rPr>
                <w:sz w:val="26"/>
                <w:szCs w:val="26"/>
              </w:rPr>
              <w:t xml:space="preserve">Nav. </w:t>
            </w:r>
          </w:p>
        </w:tc>
      </w:tr>
    </w:tbl>
    <w:p w:rsidR="009B6E5F" w:rsidRPr="00252798" w:rsidRDefault="009B6E5F" w:rsidP="00252798">
      <w:pPr>
        <w:pStyle w:val="naisf"/>
        <w:spacing w:before="0" w:after="0"/>
        <w:ind w:firstLine="0"/>
        <w:rPr>
          <w:sz w:val="20"/>
          <w:szCs w:val="20"/>
        </w:rPr>
      </w:pP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
        <w:gridCol w:w="4395"/>
        <w:gridCol w:w="4701"/>
      </w:tblGrid>
      <w:tr w:rsidR="00207CA2" w:rsidRPr="000410C7" w:rsidTr="005D4608">
        <w:tc>
          <w:tcPr>
            <w:tcW w:w="10065" w:type="dxa"/>
            <w:gridSpan w:val="3"/>
            <w:vAlign w:val="center"/>
          </w:tcPr>
          <w:p w:rsidR="00207CA2" w:rsidRPr="000410C7" w:rsidRDefault="00207CA2" w:rsidP="00FB2F9B">
            <w:pPr>
              <w:pStyle w:val="naisnod"/>
              <w:spacing w:before="0" w:after="0"/>
              <w:rPr>
                <w:sz w:val="28"/>
                <w:szCs w:val="28"/>
              </w:rPr>
            </w:pPr>
            <w:r w:rsidRPr="000410C7">
              <w:rPr>
                <w:sz w:val="28"/>
                <w:szCs w:val="28"/>
              </w:rPr>
              <w:t>II. Tiesību akta projekta ietekme uz sabiedrību</w:t>
            </w:r>
          </w:p>
        </w:tc>
      </w:tr>
      <w:tr w:rsidR="00207CA2" w:rsidRPr="000410C7" w:rsidTr="005D4608">
        <w:trPr>
          <w:trHeight w:val="467"/>
        </w:trPr>
        <w:tc>
          <w:tcPr>
            <w:tcW w:w="969" w:type="dxa"/>
          </w:tcPr>
          <w:p w:rsidR="00207CA2" w:rsidRPr="000410C7" w:rsidRDefault="00207CA2" w:rsidP="00FB2F9B">
            <w:pPr>
              <w:pStyle w:val="naiskr"/>
              <w:spacing w:before="0" w:after="0"/>
              <w:rPr>
                <w:sz w:val="28"/>
                <w:szCs w:val="28"/>
              </w:rPr>
            </w:pPr>
            <w:r w:rsidRPr="000410C7">
              <w:rPr>
                <w:sz w:val="28"/>
                <w:szCs w:val="28"/>
              </w:rPr>
              <w:t>1.</w:t>
            </w:r>
          </w:p>
        </w:tc>
        <w:tc>
          <w:tcPr>
            <w:tcW w:w="4395" w:type="dxa"/>
          </w:tcPr>
          <w:p w:rsidR="00207CA2" w:rsidRPr="000410C7" w:rsidRDefault="00207CA2" w:rsidP="00FB2F9B">
            <w:pPr>
              <w:pStyle w:val="naiskr"/>
              <w:spacing w:before="0" w:after="0"/>
              <w:rPr>
                <w:sz w:val="28"/>
                <w:szCs w:val="28"/>
              </w:rPr>
            </w:pPr>
            <w:r w:rsidRPr="000410C7">
              <w:rPr>
                <w:sz w:val="28"/>
                <w:szCs w:val="28"/>
              </w:rPr>
              <w:t xml:space="preserve">Sabiedrības </w:t>
            </w:r>
            <w:proofErr w:type="spellStart"/>
            <w:r w:rsidRPr="000410C7">
              <w:rPr>
                <w:sz w:val="28"/>
                <w:szCs w:val="28"/>
              </w:rPr>
              <w:t>mērķgrupa</w:t>
            </w:r>
            <w:proofErr w:type="spellEnd"/>
          </w:p>
        </w:tc>
        <w:tc>
          <w:tcPr>
            <w:tcW w:w="4701" w:type="dxa"/>
          </w:tcPr>
          <w:p w:rsidR="00207CA2" w:rsidRPr="00E6245C" w:rsidRDefault="00207CA2" w:rsidP="00BC44B7">
            <w:pPr>
              <w:pStyle w:val="naiskr"/>
              <w:ind w:hanging="57"/>
              <w:jc w:val="both"/>
              <w:rPr>
                <w:sz w:val="28"/>
                <w:szCs w:val="28"/>
              </w:rPr>
            </w:pPr>
            <w:r w:rsidRPr="000410C7">
              <w:rPr>
                <w:iCs/>
                <w:sz w:val="28"/>
                <w:szCs w:val="28"/>
              </w:rPr>
              <w:t> </w:t>
            </w:r>
            <w:r w:rsidR="00BC44B7">
              <w:rPr>
                <w:sz w:val="28"/>
                <w:szCs w:val="28"/>
              </w:rPr>
              <w:t>Valsts un pašvaldību institūciju amatpersonas un darbinieki</w:t>
            </w:r>
            <w:r w:rsidR="008715DB" w:rsidRPr="00E6245C">
              <w:rPr>
                <w:sz w:val="28"/>
                <w:szCs w:val="28"/>
              </w:rPr>
              <w:t>.</w:t>
            </w:r>
          </w:p>
        </w:tc>
      </w:tr>
      <w:tr w:rsidR="00207CA2" w:rsidRPr="000410C7" w:rsidTr="005D4608">
        <w:trPr>
          <w:trHeight w:val="523"/>
        </w:trPr>
        <w:tc>
          <w:tcPr>
            <w:tcW w:w="969" w:type="dxa"/>
          </w:tcPr>
          <w:p w:rsidR="00207CA2" w:rsidRPr="000410C7" w:rsidRDefault="00207CA2" w:rsidP="00FB2F9B">
            <w:pPr>
              <w:pStyle w:val="naiskr"/>
              <w:spacing w:before="0" w:after="0"/>
              <w:rPr>
                <w:sz w:val="28"/>
                <w:szCs w:val="28"/>
              </w:rPr>
            </w:pPr>
            <w:r w:rsidRPr="000410C7">
              <w:rPr>
                <w:sz w:val="28"/>
                <w:szCs w:val="28"/>
              </w:rPr>
              <w:t>2.</w:t>
            </w:r>
          </w:p>
        </w:tc>
        <w:tc>
          <w:tcPr>
            <w:tcW w:w="4395" w:type="dxa"/>
          </w:tcPr>
          <w:p w:rsidR="00207CA2" w:rsidRPr="000410C7" w:rsidRDefault="00207CA2" w:rsidP="00FB2F9B">
            <w:pPr>
              <w:pStyle w:val="naiskr"/>
              <w:spacing w:before="0" w:after="0"/>
              <w:rPr>
                <w:sz w:val="28"/>
                <w:szCs w:val="28"/>
              </w:rPr>
            </w:pPr>
            <w:r w:rsidRPr="000410C7">
              <w:rPr>
                <w:sz w:val="28"/>
                <w:szCs w:val="28"/>
              </w:rPr>
              <w:t xml:space="preserve">Citas sabiedrības grupas (bez </w:t>
            </w:r>
            <w:proofErr w:type="spellStart"/>
            <w:r w:rsidRPr="000410C7">
              <w:rPr>
                <w:sz w:val="28"/>
                <w:szCs w:val="28"/>
              </w:rPr>
              <w:t>mērķgrupas</w:t>
            </w:r>
            <w:proofErr w:type="spellEnd"/>
            <w:r w:rsidRPr="000410C7">
              <w:rPr>
                <w:sz w:val="28"/>
                <w:szCs w:val="28"/>
              </w:rPr>
              <w:t>), kuras tiesiskais regulējums arī ietekmē vai varētu ietekmēt</w:t>
            </w:r>
          </w:p>
        </w:tc>
        <w:tc>
          <w:tcPr>
            <w:tcW w:w="4701" w:type="dxa"/>
          </w:tcPr>
          <w:p w:rsidR="00207CA2" w:rsidRPr="000410C7" w:rsidRDefault="00BA3377" w:rsidP="00261FE9">
            <w:pPr>
              <w:pStyle w:val="naiskr"/>
              <w:jc w:val="both"/>
              <w:rPr>
                <w:sz w:val="28"/>
                <w:szCs w:val="28"/>
              </w:rPr>
            </w:pPr>
            <w:r w:rsidRPr="000410C7">
              <w:rPr>
                <w:sz w:val="28"/>
                <w:szCs w:val="28"/>
              </w:rPr>
              <w:t>Projekts šo jomu neskar.</w:t>
            </w:r>
          </w:p>
        </w:tc>
      </w:tr>
      <w:tr w:rsidR="00207CA2" w:rsidRPr="000410C7" w:rsidTr="005D4608">
        <w:trPr>
          <w:trHeight w:val="517"/>
        </w:trPr>
        <w:tc>
          <w:tcPr>
            <w:tcW w:w="969" w:type="dxa"/>
          </w:tcPr>
          <w:p w:rsidR="00207CA2" w:rsidRPr="000410C7" w:rsidRDefault="00207CA2" w:rsidP="00FB2F9B">
            <w:pPr>
              <w:pStyle w:val="naiskr"/>
              <w:spacing w:before="0" w:after="0"/>
              <w:rPr>
                <w:sz w:val="28"/>
                <w:szCs w:val="28"/>
              </w:rPr>
            </w:pPr>
            <w:r w:rsidRPr="000410C7">
              <w:rPr>
                <w:sz w:val="28"/>
                <w:szCs w:val="28"/>
              </w:rPr>
              <w:t>3.</w:t>
            </w:r>
          </w:p>
        </w:tc>
        <w:tc>
          <w:tcPr>
            <w:tcW w:w="4395" w:type="dxa"/>
          </w:tcPr>
          <w:p w:rsidR="00207CA2" w:rsidRPr="000410C7" w:rsidRDefault="00207CA2" w:rsidP="00FB2F9B">
            <w:pPr>
              <w:pStyle w:val="naiskr"/>
              <w:spacing w:before="0" w:after="0"/>
              <w:rPr>
                <w:sz w:val="28"/>
                <w:szCs w:val="28"/>
              </w:rPr>
            </w:pPr>
            <w:r w:rsidRPr="000410C7">
              <w:rPr>
                <w:sz w:val="28"/>
                <w:szCs w:val="28"/>
              </w:rPr>
              <w:t>Tiesiskā regulējuma finansiālā ietekme</w:t>
            </w:r>
          </w:p>
        </w:tc>
        <w:tc>
          <w:tcPr>
            <w:tcW w:w="4701" w:type="dxa"/>
          </w:tcPr>
          <w:p w:rsidR="00207CA2" w:rsidRPr="000410C7" w:rsidRDefault="00BA3377" w:rsidP="00261FE9">
            <w:pPr>
              <w:pStyle w:val="naiskr"/>
              <w:jc w:val="both"/>
              <w:rPr>
                <w:sz w:val="28"/>
                <w:szCs w:val="28"/>
              </w:rPr>
            </w:pPr>
            <w:r w:rsidRPr="000410C7">
              <w:rPr>
                <w:sz w:val="28"/>
                <w:szCs w:val="28"/>
              </w:rPr>
              <w:t>Projekts šo jomu neskar.</w:t>
            </w:r>
          </w:p>
        </w:tc>
      </w:tr>
      <w:tr w:rsidR="00207CA2" w:rsidRPr="000410C7" w:rsidTr="005D4608">
        <w:trPr>
          <w:trHeight w:val="517"/>
        </w:trPr>
        <w:tc>
          <w:tcPr>
            <w:tcW w:w="969" w:type="dxa"/>
          </w:tcPr>
          <w:p w:rsidR="00207CA2" w:rsidRPr="000410C7" w:rsidRDefault="00207CA2" w:rsidP="00FB2F9B">
            <w:pPr>
              <w:pStyle w:val="naiskr"/>
              <w:spacing w:before="0" w:after="0"/>
              <w:rPr>
                <w:sz w:val="28"/>
                <w:szCs w:val="28"/>
              </w:rPr>
            </w:pPr>
            <w:r w:rsidRPr="000410C7">
              <w:rPr>
                <w:sz w:val="28"/>
                <w:szCs w:val="28"/>
              </w:rPr>
              <w:t>4.</w:t>
            </w:r>
          </w:p>
        </w:tc>
        <w:tc>
          <w:tcPr>
            <w:tcW w:w="4395" w:type="dxa"/>
          </w:tcPr>
          <w:p w:rsidR="00207CA2" w:rsidRPr="000410C7" w:rsidRDefault="00207CA2" w:rsidP="00FB2F9B">
            <w:pPr>
              <w:pStyle w:val="naiskr"/>
              <w:spacing w:before="0" w:after="0"/>
              <w:rPr>
                <w:sz w:val="28"/>
                <w:szCs w:val="28"/>
              </w:rPr>
            </w:pPr>
            <w:r w:rsidRPr="000410C7">
              <w:rPr>
                <w:sz w:val="28"/>
                <w:szCs w:val="28"/>
              </w:rPr>
              <w:t>Tiesiskā regulējuma nefinansiālā ietekme</w:t>
            </w:r>
          </w:p>
        </w:tc>
        <w:tc>
          <w:tcPr>
            <w:tcW w:w="4701" w:type="dxa"/>
          </w:tcPr>
          <w:p w:rsidR="00207CA2" w:rsidRPr="000410C7" w:rsidRDefault="00BA3377" w:rsidP="00FB2F9B">
            <w:pPr>
              <w:pStyle w:val="naiskr"/>
              <w:jc w:val="both"/>
              <w:rPr>
                <w:sz w:val="28"/>
                <w:szCs w:val="28"/>
              </w:rPr>
            </w:pPr>
            <w:r w:rsidRPr="000410C7">
              <w:rPr>
                <w:sz w:val="28"/>
                <w:szCs w:val="28"/>
              </w:rPr>
              <w:t>Projekts šo jomu neskar.</w:t>
            </w:r>
          </w:p>
        </w:tc>
      </w:tr>
      <w:tr w:rsidR="00207CA2" w:rsidRPr="000410C7" w:rsidTr="005D4608">
        <w:trPr>
          <w:trHeight w:val="531"/>
        </w:trPr>
        <w:tc>
          <w:tcPr>
            <w:tcW w:w="969" w:type="dxa"/>
          </w:tcPr>
          <w:p w:rsidR="00207CA2" w:rsidRPr="000410C7" w:rsidRDefault="00207CA2" w:rsidP="00FB2F9B">
            <w:pPr>
              <w:pStyle w:val="naiskr"/>
              <w:spacing w:before="0" w:after="0"/>
              <w:rPr>
                <w:sz w:val="28"/>
                <w:szCs w:val="28"/>
              </w:rPr>
            </w:pPr>
            <w:r w:rsidRPr="000410C7">
              <w:rPr>
                <w:sz w:val="28"/>
                <w:szCs w:val="28"/>
              </w:rPr>
              <w:t>5.</w:t>
            </w:r>
          </w:p>
        </w:tc>
        <w:tc>
          <w:tcPr>
            <w:tcW w:w="4395" w:type="dxa"/>
          </w:tcPr>
          <w:p w:rsidR="00207CA2" w:rsidRPr="000410C7" w:rsidRDefault="00207CA2" w:rsidP="00FB2F9B">
            <w:pPr>
              <w:pStyle w:val="naiskr"/>
              <w:spacing w:before="0" w:after="0"/>
              <w:rPr>
                <w:sz w:val="28"/>
                <w:szCs w:val="28"/>
              </w:rPr>
            </w:pPr>
            <w:r w:rsidRPr="000410C7">
              <w:rPr>
                <w:sz w:val="28"/>
                <w:szCs w:val="28"/>
              </w:rPr>
              <w:t>Administratīvās procedūras raksturojums</w:t>
            </w:r>
          </w:p>
        </w:tc>
        <w:tc>
          <w:tcPr>
            <w:tcW w:w="4701" w:type="dxa"/>
          </w:tcPr>
          <w:p w:rsidR="00207CA2" w:rsidRPr="000410C7" w:rsidRDefault="00BA3377" w:rsidP="00261FE9">
            <w:pPr>
              <w:pStyle w:val="naiskr"/>
              <w:spacing w:before="0" w:after="0"/>
              <w:jc w:val="both"/>
              <w:rPr>
                <w:sz w:val="28"/>
                <w:szCs w:val="28"/>
              </w:rPr>
            </w:pPr>
            <w:r w:rsidRPr="000410C7">
              <w:rPr>
                <w:sz w:val="28"/>
                <w:szCs w:val="28"/>
              </w:rPr>
              <w:t>Projekts šo jomu neskar.</w:t>
            </w:r>
          </w:p>
        </w:tc>
      </w:tr>
      <w:tr w:rsidR="00207CA2" w:rsidRPr="000410C7" w:rsidTr="005D4608">
        <w:trPr>
          <w:trHeight w:val="357"/>
        </w:trPr>
        <w:tc>
          <w:tcPr>
            <w:tcW w:w="969" w:type="dxa"/>
          </w:tcPr>
          <w:p w:rsidR="00207CA2" w:rsidRPr="000410C7" w:rsidRDefault="00207CA2" w:rsidP="00FB2F9B">
            <w:pPr>
              <w:pStyle w:val="naiskr"/>
              <w:spacing w:before="0" w:after="0"/>
              <w:rPr>
                <w:sz w:val="28"/>
                <w:szCs w:val="28"/>
              </w:rPr>
            </w:pPr>
            <w:r w:rsidRPr="000410C7">
              <w:rPr>
                <w:sz w:val="28"/>
                <w:szCs w:val="28"/>
              </w:rPr>
              <w:t>6.</w:t>
            </w:r>
          </w:p>
        </w:tc>
        <w:tc>
          <w:tcPr>
            <w:tcW w:w="4395" w:type="dxa"/>
          </w:tcPr>
          <w:p w:rsidR="00207CA2" w:rsidRPr="000410C7" w:rsidRDefault="00207CA2" w:rsidP="00FB2F9B">
            <w:pPr>
              <w:pStyle w:val="naiskr"/>
              <w:spacing w:before="0" w:after="0"/>
              <w:rPr>
                <w:sz w:val="28"/>
                <w:szCs w:val="28"/>
              </w:rPr>
            </w:pPr>
            <w:r w:rsidRPr="000410C7">
              <w:rPr>
                <w:sz w:val="28"/>
                <w:szCs w:val="28"/>
              </w:rPr>
              <w:t>Administratīvo izmaksu monetārs novērtējums</w:t>
            </w:r>
          </w:p>
        </w:tc>
        <w:tc>
          <w:tcPr>
            <w:tcW w:w="4701" w:type="dxa"/>
          </w:tcPr>
          <w:p w:rsidR="00207CA2" w:rsidRPr="000410C7" w:rsidRDefault="00207CA2" w:rsidP="00FB2F9B">
            <w:pPr>
              <w:pStyle w:val="naiskr"/>
              <w:spacing w:before="0" w:after="0"/>
              <w:rPr>
                <w:sz w:val="28"/>
                <w:szCs w:val="28"/>
              </w:rPr>
            </w:pPr>
            <w:r w:rsidRPr="000410C7">
              <w:rPr>
                <w:sz w:val="28"/>
                <w:szCs w:val="28"/>
              </w:rPr>
              <w:t>Projekts šo jomu neskar.</w:t>
            </w:r>
          </w:p>
        </w:tc>
      </w:tr>
      <w:tr w:rsidR="00207CA2" w:rsidRPr="000410C7" w:rsidTr="005D4608">
        <w:tc>
          <w:tcPr>
            <w:tcW w:w="969" w:type="dxa"/>
          </w:tcPr>
          <w:p w:rsidR="00207CA2" w:rsidRPr="000410C7" w:rsidRDefault="00207CA2" w:rsidP="00FB2F9B">
            <w:pPr>
              <w:pStyle w:val="naiskr"/>
              <w:spacing w:before="0" w:after="0"/>
              <w:rPr>
                <w:sz w:val="28"/>
                <w:szCs w:val="28"/>
              </w:rPr>
            </w:pPr>
            <w:r w:rsidRPr="000410C7">
              <w:rPr>
                <w:sz w:val="28"/>
                <w:szCs w:val="28"/>
              </w:rPr>
              <w:t>7.</w:t>
            </w:r>
          </w:p>
        </w:tc>
        <w:tc>
          <w:tcPr>
            <w:tcW w:w="4395" w:type="dxa"/>
          </w:tcPr>
          <w:p w:rsidR="00207CA2" w:rsidRPr="000410C7" w:rsidRDefault="00207CA2" w:rsidP="00FB2F9B">
            <w:pPr>
              <w:pStyle w:val="naiskr"/>
              <w:spacing w:before="0" w:after="0"/>
              <w:rPr>
                <w:sz w:val="28"/>
                <w:szCs w:val="28"/>
              </w:rPr>
            </w:pPr>
            <w:r w:rsidRPr="000410C7">
              <w:rPr>
                <w:sz w:val="28"/>
                <w:szCs w:val="28"/>
              </w:rPr>
              <w:t>Cita informācija</w:t>
            </w:r>
          </w:p>
        </w:tc>
        <w:tc>
          <w:tcPr>
            <w:tcW w:w="4701" w:type="dxa"/>
          </w:tcPr>
          <w:p w:rsidR="00207CA2" w:rsidRPr="000410C7" w:rsidRDefault="00207CA2" w:rsidP="00FB2F9B">
            <w:pPr>
              <w:pStyle w:val="naiskr"/>
              <w:spacing w:before="0" w:after="0"/>
              <w:rPr>
                <w:sz w:val="28"/>
                <w:szCs w:val="28"/>
              </w:rPr>
            </w:pPr>
            <w:r w:rsidRPr="000410C7">
              <w:rPr>
                <w:sz w:val="28"/>
                <w:szCs w:val="28"/>
              </w:rPr>
              <w:t>Nav.</w:t>
            </w:r>
          </w:p>
        </w:tc>
      </w:tr>
    </w:tbl>
    <w:p w:rsidR="00207CA2" w:rsidRPr="000410C7" w:rsidRDefault="00207CA2" w:rsidP="00207CA2">
      <w:pPr>
        <w:pStyle w:val="naisf"/>
        <w:spacing w:before="0" w:after="0"/>
        <w:rPr>
          <w:sz w:val="28"/>
          <w:szCs w:val="28"/>
        </w:rPr>
      </w:pPr>
    </w:p>
    <w:tbl>
      <w:tblPr>
        <w:tblW w:w="10063" w:type="dxa"/>
        <w:jc w:val="center"/>
        <w:tblInd w:w="-599" w:type="dxa"/>
        <w:tblLook w:val="01E0" w:firstRow="1" w:lastRow="1" w:firstColumn="1" w:lastColumn="1" w:noHBand="0" w:noVBand="0"/>
      </w:tblPr>
      <w:tblGrid>
        <w:gridCol w:w="140"/>
        <w:gridCol w:w="1734"/>
        <w:gridCol w:w="601"/>
        <w:gridCol w:w="1371"/>
        <w:gridCol w:w="1470"/>
        <w:gridCol w:w="1672"/>
        <w:gridCol w:w="1672"/>
        <w:gridCol w:w="1304"/>
        <w:gridCol w:w="99"/>
      </w:tblGrid>
      <w:tr w:rsidR="00207CA2" w:rsidRPr="00BC44B7" w:rsidTr="00F9184A">
        <w:trPr>
          <w:gridAfter w:val="1"/>
          <w:wAfter w:w="99" w:type="dxa"/>
          <w:trHeight w:val="652"/>
          <w:jc w:val="center"/>
        </w:trPr>
        <w:tc>
          <w:tcPr>
            <w:tcW w:w="9964" w:type="dxa"/>
            <w:gridSpan w:val="8"/>
            <w:tcBorders>
              <w:top w:val="single" w:sz="4" w:space="0" w:color="auto"/>
              <w:left w:val="single" w:sz="4" w:space="0" w:color="auto"/>
              <w:bottom w:val="single" w:sz="4" w:space="0" w:color="auto"/>
              <w:right w:val="single" w:sz="4" w:space="0" w:color="auto"/>
            </w:tcBorders>
          </w:tcPr>
          <w:p w:rsidR="00207CA2" w:rsidRPr="00BC44B7" w:rsidRDefault="00207CA2" w:rsidP="00FB2F9B">
            <w:pPr>
              <w:pStyle w:val="naisnod"/>
              <w:spacing w:before="0" w:after="0"/>
              <w:rPr>
                <w:i/>
                <w:sz w:val="28"/>
                <w:szCs w:val="28"/>
              </w:rPr>
            </w:pPr>
            <w:r w:rsidRPr="00BC44B7">
              <w:rPr>
                <w:sz w:val="28"/>
                <w:szCs w:val="28"/>
              </w:rPr>
              <w:br w:type="page"/>
              <w:t>III. Tiesību akta projekta ietekme uz valsts budžetu un pašvaldību budžetiem</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b/>
                <w:bCs/>
                <w:sz w:val="28"/>
                <w:szCs w:val="28"/>
              </w:rPr>
            </w:pPr>
            <w:r w:rsidRPr="00BC44B7">
              <w:rPr>
                <w:rFonts w:ascii="Times New Roman" w:hAnsi="Times New Roman"/>
                <w:b/>
                <w:bCs/>
                <w:sz w:val="28"/>
                <w:szCs w:val="28"/>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b/>
                <w:bCs/>
                <w:sz w:val="28"/>
                <w:szCs w:val="28"/>
              </w:rPr>
            </w:pPr>
            <w:r w:rsidRPr="00BC44B7">
              <w:rPr>
                <w:rFonts w:ascii="Times New Roman" w:hAnsi="Times New Roman"/>
                <w:b/>
                <w:bCs/>
                <w:sz w:val="28"/>
                <w:szCs w:val="28"/>
              </w:rPr>
              <w:t>2012. gads</w:t>
            </w:r>
          </w:p>
        </w:tc>
        <w:tc>
          <w:tcPr>
            <w:tcW w:w="4747" w:type="dxa"/>
            <w:gridSpan w:val="4"/>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Turpmākie trīs gadi (</w:t>
            </w:r>
            <w:proofErr w:type="spellStart"/>
            <w:r w:rsidRPr="00BC44B7">
              <w:rPr>
                <w:rFonts w:ascii="Times New Roman" w:hAnsi="Times New Roman"/>
                <w:sz w:val="28"/>
                <w:szCs w:val="28"/>
              </w:rPr>
              <w:t>tūkst</w:t>
            </w:r>
            <w:proofErr w:type="spellEnd"/>
            <w:smartTag w:uri="schemas-tilde-lv/tildestengine" w:element="currency2">
              <w:smartTagPr>
                <w:attr w:name="currency_id" w:val="48"/>
                <w:attr w:name="currency_key" w:val="LVL"/>
                <w:attr w:name="currency_value" w:val="."/>
                <w:attr w:name="currency_text" w:val="latu"/>
              </w:smartTagPr>
              <w:r w:rsidRPr="00BC44B7">
                <w:rPr>
                  <w:rFonts w:ascii="Times New Roman" w:hAnsi="Times New Roman"/>
                  <w:sz w:val="28"/>
                  <w:szCs w:val="28"/>
                </w:rPr>
                <w:t>. latu</w:t>
              </w:r>
            </w:smartTag>
            <w:r w:rsidRPr="00BC44B7">
              <w:rPr>
                <w:rFonts w:ascii="Times New Roman" w:hAnsi="Times New Roman"/>
                <w:sz w:val="28"/>
                <w:szCs w:val="28"/>
              </w:rPr>
              <w:t>)</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rPr>
                <w:b/>
                <w:bCs/>
                <w:sz w:val="28"/>
                <w:szCs w:val="28"/>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rPr>
                <w:b/>
                <w:bCs/>
                <w:sz w:val="28"/>
                <w:szCs w:val="28"/>
              </w:rPr>
            </w:pP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b/>
                <w:bCs/>
                <w:sz w:val="28"/>
                <w:szCs w:val="28"/>
              </w:rPr>
            </w:pPr>
            <w:r w:rsidRPr="00BC44B7">
              <w:rPr>
                <w:rFonts w:ascii="Times New Roman" w:hAnsi="Times New Roman"/>
                <w:b/>
                <w:bCs/>
                <w:sz w:val="28"/>
                <w:szCs w:val="28"/>
              </w:rPr>
              <w:t>2013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b/>
                <w:bCs/>
                <w:sz w:val="28"/>
                <w:szCs w:val="28"/>
              </w:rPr>
            </w:pPr>
            <w:r w:rsidRPr="00BC44B7">
              <w:rPr>
                <w:rFonts w:ascii="Times New Roman" w:hAnsi="Times New Roman"/>
                <w:b/>
                <w:bCs/>
                <w:sz w:val="28"/>
                <w:szCs w:val="28"/>
              </w:rPr>
              <w:t>2014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b/>
                <w:bCs/>
                <w:sz w:val="28"/>
                <w:szCs w:val="28"/>
              </w:rPr>
            </w:pPr>
            <w:r w:rsidRPr="00BC44B7">
              <w:rPr>
                <w:rFonts w:ascii="Times New Roman" w:hAnsi="Times New Roman"/>
                <w:b/>
                <w:bCs/>
                <w:sz w:val="28"/>
                <w:szCs w:val="28"/>
              </w:rPr>
              <w:t>2015</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rPr>
                <w:b/>
                <w:bCs/>
                <w:sz w:val="28"/>
                <w:szCs w:val="28"/>
              </w:rPr>
            </w:pP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Izmaiņas kārtējā gadā, salīdzinot ar budžetu kārtējam gadam</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Izmaiņas, salīdzinot ar kārtējo (2012) gadu</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Izmaiņas, salīdzinot ar kārtējo (2012) gadu</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Izmaiņas, salīdzinot ar kārtējo (2012) gadu</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lastRenderedPageBreak/>
              <w:t>1</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2</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4</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5</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pStyle w:val="NormalWeb"/>
              <w:jc w:val="center"/>
              <w:rPr>
                <w:rFonts w:ascii="Times New Roman" w:hAnsi="Times New Roman"/>
                <w:sz w:val="28"/>
                <w:szCs w:val="28"/>
              </w:rPr>
            </w:pPr>
            <w:r w:rsidRPr="00BC44B7">
              <w:rPr>
                <w:rFonts w:ascii="Times New Roman" w:hAnsi="Times New Roman"/>
                <w:sz w:val="28"/>
                <w:szCs w:val="28"/>
              </w:rPr>
              <w:t>6</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1. Budžeta ieņēmumi:</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F9184A" w:rsidP="00BC44B7">
            <w:pPr>
              <w:jc w:val="center"/>
              <w:rPr>
                <w:sz w:val="28"/>
                <w:szCs w:val="28"/>
              </w:rPr>
            </w:pPr>
            <w:r w:rsidRPr="00F55057">
              <w:rPr>
                <w:sz w:val="28"/>
                <w:szCs w:val="28"/>
              </w:rPr>
              <w:t>0</w:t>
            </w: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1.1. valsts pamatbudžets, tai skaitā ieņēmumi no maksas 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F9184A" w:rsidP="00BC44B7">
            <w:pPr>
              <w:jc w:val="center"/>
              <w:rPr>
                <w:sz w:val="28"/>
                <w:szCs w:val="28"/>
              </w:rPr>
            </w:pPr>
            <w:r w:rsidRPr="00F55057">
              <w:rPr>
                <w:sz w:val="28"/>
                <w:szCs w:val="28"/>
              </w:rPr>
              <w:t>0</w:t>
            </w: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1.2.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1.3.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2. Budžeta izdevumi:</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F9184A" w:rsidP="00BC44B7">
            <w:pPr>
              <w:jc w:val="center"/>
              <w:rPr>
                <w:sz w:val="28"/>
                <w:szCs w:val="28"/>
              </w:rPr>
            </w:pPr>
            <w:r w:rsidRPr="00F55057">
              <w:rPr>
                <w:sz w:val="28"/>
                <w:szCs w:val="28"/>
              </w:rPr>
              <w:t>0</w:t>
            </w: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1A0E74" w:rsidP="00BC44B7">
            <w:pPr>
              <w:jc w:val="center"/>
              <w:rPr>
                <w:sz w:val="28"/>
                <w:szCs w:val="28"/>
                <w:highlight w:val="green"/>
              </w:rPr>
            </w:pPr>
            <w:r>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787793" w:rsidP="00BC44B7">
            <w:pPr>
              <w:jc w:val="center"/>
              <w:rPr>
                <w:sz w:val="28"/>
                <w:szCs w:val="28"/>
              </w:rPr>
            </w:pPr>
            <w:r w:rsidRPr="00F55057">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1A0E74" w:rsidP="00BC44B7">
            <w:pPr>
              <w:jc w:val="center"/>
              <w:rPr>
                <w:sz w:val="28"/>
                <w:szCs w:val="28"/>
              </w:rPr>
            </w:pPr>
            <w:r>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F9184A" w:rsidP="00BC44B7">
            <w:pPr>
              <w:jc w:val="center"/>
              <w:rPr>
                <w:sz w:val="28"/>
                <w:szCs w:val="28"/>
              </w:rPr>
            </w:pPr>
            <w:r w:rsidRPr="00F55057">
              <w:rPr>
                <w:sz w:val="28"/>
                <w:szCs w:val="28"/>
              </w:rPr>
              <w:t>0</w:t>
            </w: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1A0E74" w:rsidP="00BC44B7">
            <w:pPr>
              <w:jc w:val="center"/>
              <w:rPr>
                <w:sz w:val="28"/>
                <w:szCs w:val="28"/>
                <w:highlight w:val="green"/>
              </w:rPr>
            </w:pPr>
            <w:r>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1A0E74" w:rsidP="00BC44B7">
            <w:pPr>
              <w:jc w:val="center"/>
              <w:rPr>
                <w:sz w:val="28"/>
                <w:szCs w:val="28"/>
              </w:rPr>
            </w:pPr>
            <w:r>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1A0E74" w:rsidP="00BC44B7">
            <w:pPr>
              <w:jc w:val="center"/>
              <w:rPr>
                <w:sz w:val="28"/>
                <w:szCs w:val="28"/>
              </w:rPr>
            </w:pPr>
            <w:r>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jc w:val="center"/>
              <w:rPr>
                <w:sz w:val="28"/>
                <w:szCs w:val="28"/>
              </w:rPr>
            </w:pPr>
            <w:r w:rsidRPr="00F55057">
              <w:rPr>
                <w:sz w:val="28"/>
                <w:szCs w:val="28"/>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787793">
            <w:pPr>
              <w:jc w:val="center"/>
              <w:rPr>
                <w:sz w:val="28"/>
                <w:szCs w:val="28"/>
              </w:rPr>
            </w:pPr>
            <w:r>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F55057" w:rsidRDefault="001A0E74" w:rsidP="001A0E74">
            <w:pPr>
              <w:jc w:val="center"/>
              <w:rPr>
                <w:sz w:val="28"/>
                <w:szCs w:val="28"/>
              </w:rPr>
            </w:pPr>
            <w:r>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jc w:val="center"/>
              <w:rPr>
                <w:sz w:val="28"/>
                <w:szCs w:val="28"/>
              </w:rPr>
            </w:pPr>
            <w:r w:rsidRPr="00F55057">
              <w:rPr>
                <w:sz w:val="28"/>
                <w:szCs w:val="28"/>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F55057" w:rsidRDefault="00BC44B7" w:rsidP="00BC44B7">
            <w:pPr>
              <w:pStyle w:val="NormalWeb"/>
              <w:jc w:val="center"/>
              <w:rPr>
                <w:rFonts w:ascii="Times New Roman" w:hAnsi="Times New Roman"/>
                <w:sz w:val="28"/>
                <w:szCs w:val="28"/>
              </w:rPr>
            </w:pPr>
            <w:r w:rsidRPr="00F55057">
              <w:rPr>
                <w:rFonts w:ascii="Times New Roman" w:hAnsi="Times New Roman"/>
                <w:sz w:val="28"/>
                <w:szCs w:val="28"/>
              </w:rPr>
              <w:t>X</w:t>
            </w: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jc w:val="center"/>
              <w:rPr>
                <w:sz w:val="28"/>
                <w:szCs w:val="28"/>
              </w:rPr>
            </w:pPr>
            <w:r w:rsidRPr="00F55057">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rPr>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rPr>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F5505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F55057" w:rsidRDefault="00BC44B7" w:rsidP="00BC44B7">
            <w:pPr>
              <w:pStyle w:val="NormalWeb"/>
              <w:jc w:val="center"/>
              <w:rPr>
                <w:rFonts w:ascii="Times New Roman" w:hAnsi="Times New Roman"/>
                <w:sz w:val="28"/>
                <w:szCs w:val="28"/>
              </w:rPr>
            </w:pPr>
            <w:r w:rsidRPr="00F55057">
              <w:rPr>
                <w:rFonts w:ascii="Times New Roman" w:hAnsi="Times New Roman"/>
                <w:sz w:val="28"/>
                <w:szCs w:val="28"/>
              </w:rPr>
              <w:t>X</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lastRenderedPageBreak/>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F55057" w:rsidRDefault="00BC44B7" w:rsidP="00BC44B7">
            <w:pPr>
              <w:jc w:val="center"/>
              <w:rPr>
                <w:sz w:val="28"/>
                <w:szCs w:val="28"/>
              </w:rPr>
            </w:pPr>
            <w:r w:rsidRPr="00F55057">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F55057" w:rsidRDefault="001A0E74" w:rsidP="00BC44B7">
            <w:pPr>
              <w:jc w:val="center"/>
              <w:rPr>
                <w:sz w:val="28"/>
                <w:szCs w:val="28"/>
              </w:rPr>
            </w:pPr>
            <w:r>
              <w:rPr>
                <w:sz w:val="28"/>
                <w:szCs w:val="28"/>
              </w:rPr>
              <w:t>0</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rPr>
                <w:i/>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rPr>
                <w:i/>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rPr>
                <w:i/>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rPr>
                <w:i/>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ind w:right="-109"/>
              <w:rPr>
                <w:rFonts w:ascii="Times New Roman" w:hAnsi="Times New Roman"/>
                <w:sz w:val="28"/>
                <w:szCs w:val="28"/>
              </w:rPr>
            </w:pPr>
            <w:r w:rsidRPr="00BC44B7">
              <w:rPr>
                <w:rFonts w:ascii="Times New Roman" w:hAnsi="Times New Roman"/>
                <w:sz w:val="28"/>
                <w:szCs w:val="28"/>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BC44B7" w:rsidRDefault="00BC44B7" w:rsidP="00BC44B7">
            <w:pPr>
              <w:ind w:right="-109"/>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ind w:right="-109"/>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ind w:right="-109"/>
              <w:rPr>
                <w:sz w:val="28"/>
                <w:szCs w:val="28"/>
              </w:rPr>
            </w:pPr>
          </w:p>
        </w:tc>
        <w:tc>
          <w:tcPr>
            <w:tcW w:w="1672"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ind w:right="-109"/>
              <w:rPr>
                <w:sz w:val="28"/>
                <w:szCs w:val="28"/>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BC44B7" w:rsidRDefault="00BC44B7" w:rsidP="00BC44B7">
            <w:pPr>
              <w:ind w:right="-109"/>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9923" w:type="dxa"/>
            <w:gridSpan w:val="8"/>
            <w:tcBorders>
              <w:top w:val="single" w:sz="4" w:space="0" w:color="auto"/>
              <w:left w:val="single" w:sz="4" w:space="0" w:color="auto"/>
              <w:bottom w:val="single" w:sz="4" w:space="0" w:color="auto"/>
              <w:right w:val="single" w:sz="4" w:space="0" w:color="auto"/>
            </w:tcBorders>
          </w:tcPr>
          <w:p w:rsidR="00BC44B7" w:rsidRPr="00BC44B7" w:rsidRDefault="00BC44B7" w:rsidP="00BC44B7">
            <w:pPr>
              <w:ind w:right="-109"/>
              <w:rPr>
                <w:sz w:val="28"/>
                <w:szCs w:val="28"/>
              </w:rPr>
            </w:pPr>
            <w:r w:rsidRPr="00BC44B7">
              <w:rPr>
                <w:sz w:val="28"/>
                <w:szCs w:val="28"/>
              </w:rPr>
              <w:t>6. Detalizēts ieņēmumu un izdevumu aprēķins (ja nepieciešams, detalizētu ieņēmumu un izdevumu aprēķinu var pievienot anotācijas pielikumā):</w:t>
            </w: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6.1. detalizēts ieņēmumu aprēķins</w:t>
            </w:r>
          </w:p>
        </w:tc>
        <w:tc>
          <w:tcPr>
            <w:tcW w:w="8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44B7" w:rsidRPr="00BC44B7" w:rsidRDefault="00BC44B7" w:rsidP="00BC44B7">
            <w:pPr>
              <w:rPr>
                <w:sz w:val="28"/>
                <w:szCs w:val="28"/>
              </w:rPr>
            </w:pPr>
          </w:p>
          <w:p w:rsidR="00BC44B7" w:rsidRPr="00BC44B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093"/>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6.2. detalizēts izdevumu aprēķins</w:t>
            </w:r>
          </w:p>
        </w:tc>
        <w:tc>
          <w:tcPr>
            <w:tcW w:w="81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5463A6" w:rsidRPr="007F20A2" w:rsidRDefault="005463A6" w:rsidP="005463A6"/>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469"/>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p>
        </w:tc>
        <w:tc>
          <w:tcPr>
            <w:tcW w:w="8189" w:type="dxa"/>
            <w:gridSpan w:val="7"/>
            <w:vMerge/>
            <w:tcBorders>
              <w:top w:val="single" w:sz="4" w:space="0" w:color="auto"/>
              <w:left w:val="single" w:sz="4" w:space="0" w:color="auto"/>
              <w:bottom w:val="single" w:sz="4" w:space="0" w:color="auto"/>
              <w:right w:val="single" w:sz="4" w:space="0" w:color="auto"/>
            </w:tcBorders>
          </w:tcPr>
          <w:p w:rsidR="00BC44B7" w:rsidRPr="00BC44B7" w:rsidRDefault="00BC44B7" w:rsidP="00BC44B7">
            <w:pPr>
              <w:rPr>
                <w:sz w:val="28"/>
                <w:szCs w:val="28"/>
              </w:rPr>
            </w:pPr>
          </w:p>
        </w:tc>
      </w:tr>
      <w:tr w:rsidR="00BC44B7" w:rsidRPr="00BC44B7"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547"/>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BC44B7" w:rsidRDefault="00BC44B7" w:rsidP="00BC44B7">
            <w:pPr>
              <w:pStyle w:val="NormalWeb"/>
              <w:rPr>
                <w:rFonts w:ascii="Times New Roman" w:hAnsi="Times New Roman"/>
                <w:sz w:val="28"/>
                <w:szCs w:val="28"/>
              </w:rPr>
            </w:pPr>
            <w:r w:rsidRPr="00BC44B7">
              <w:rPr>
                <w:rFonts w:ascii="Times New Roman" w:hAnsi="Times New Roman"/>
                <w:sz w:val="28"/>
                <w:szCs w:val="28"/>
              </w:rPr>
              <w:t>7. Cita informācija</w:t>
            </w:r>
          </w:p>
        </w:tc>
        <w:tc>
          <w:tcPr>
            <w:tcW w:w="8189" w:type="dxa"/>
            <w:gridSpan w:val="7"/>
            <w:tcBorders>
              <w:top w:val="single" w:sz="4" w:space="0" w:color="auto"/>
              <w:left w:val="single" w:sz="4" w:space="0" w:color="auto"/>
              <w:bottom w:val="single" w:sz="4" w:space="0" w:color="auto"/>
              <w:right w:val="single" w:sz="4" w:space="0" w:color="auto"/>
            </w:tcBorders>
          </w:tcPr>
          <w:p w:rsidR="002553BF" w:rsidRDefault="002553BF" w:rsidP="002553BF">
            <w:pPr>
              <w:jc w:val="both"/>
            </w:pPr>
            <w:r>
              <w:t>Nacionālās elektronisko plašsaziņas līdzekļu padomes locekļu atlīdzībai 2013.gadā papildu nepieciešamais finansējums kopā - 43 541 lati (</w:t>
            </w:r>
            <w:proofErr w:type="spellStart"/>
            <w:r>
              <w:t>t.sk</w:t>
            </w:r>
            <w:proofErr w:type="spellEnd"/>
            <w:r>
              <w:t>. - atalgojumam  35088 lati un darba devēja sociālās apdrošināšanas obligātajām iemaksām – 8453 lati). Nepieciešamais finansējums ir atbalstīts Ministru kabineta 2012.gada 16.augusta sēdē, izskatot jautājumu „Par valsts budžeta prioritārajiem pasākumiem 2013.- 2015.gadam”.</w:t>
            </w:r>
          </w:p>
          <w:p w:rsidR="002553BF" w:rsidRDefault="002553BF" w:rsidP="002553BF">
            <w:pPr>
              <w:jc w:val="both"/>
            </w:pPr>
          </w:p>
          <w:p w:rsidR="002553BF" w:rsidRDefault="002553BF" w:rsidP="002553BF">
            <w:pPr>
              <w:jc w:val="both"/>
            </w:pPr>
            <w:r>
              <w:t>Valsts probācijas dienesta amatpersonu un darbinieku, kuras veicot amata pienākumus ir pakļautas dzīvības un veselības apdraudējumam veselības apdrošināšanai 2013.gadā papildu nepieciešams 54 400 lati. Nepieciešamais finansējums ir atbalstīts Ministru kabineta 2012.gada 16.augusta sēdē, izskatot jautājumu „Par valsts budžeta prioritārajiem pasākumiem 2013.- 2015.gadam”.</w:t>
            </w:r>
          </w:p>
          <w:p w:rsidR="002553BF" w:rsidRDefault="002553BF" w:rsidP="002553BF">
            <w:pPr>
              <w:jc w:val="both"/>
            </w:pPr>
          </w:p>
          <w:p w:rsidR="00BC44B7" w:rsidRDefault="002553BF" w:rsidP="002553BF">
            <w:pPr>
              <w:jc w:val="both"/>
            </w:pPr>
            <w:r w:rsidRPr="002553BF">
              <w:t>Lai ar 2013.gada 1.jūliju nodrošinātu piemaksas amatpersonām (darbiniekiem), kuri papildus saviem tiešajiem amata pienākumiem pilda ar Latvijas prezidentūras Eiropas Savienības Padomē sagatavošanas nodrošināšanu saistītus pienākumus, saskaņā ar Ministru kabineta 2012.gada 29.augusta rīkojumu Nr.413 „Par papildus nepieciešamo finansējumu Latvijas prezidentūras Eiropas Savienības Padomē 2015.gadā sagatavošanai un nodrošināšanai” likumprojektā „Par valsts budžetu 2013.gadam” ministriju budžetos programmā 96.00.00 „Latvijas prezidentūras Eiropas Savienības Padomē nodrošināšana 2015.gadā” 2013.gadam kopumā ir paredzēti izdevumi 126 847 latu apmērā.</w:t>
            </w:r>
          </w:p>
          <w:p w:rsidR="002553BF" w:rsidRPr="0005709F" w:rsidRDefault="002553BF" w:rsidP="002553BF">
            <w:pPr>
              <w:jc w:val="both"/>
            </w:pPr>
            <w:r w:rsidRPr="002553BF">
              <w:t xml:space="preserve">Detalizēts aprēķins amatpersonu (darbinieku) piemaksām sākot ar 2014.gada 1.jūlija un prēmijām sākot ar 2015.gada 1.jūliju, kuras iesaistītas Latvijas prezidentūras Eiropas Savienībā sagatavošanā un nodrošināšanā, tiks veikts </w:t>
            </w:r>
            <w:r w:rsidRPr="0005709F">
              <w:t>2013.gadā</w:t>
            </w:r>
          </w:p>
          <w:p w:rsidR="002553BF" w:rsidRDefault="002553BF" w:rsidP="002553BF">
            <w:pPr>
              <w:jc w:val="both"/>
            </w:pPr>
            <w:r w:rsidRPr="0005709F">
              <w:t xml:space="preserve">Saskaņā ar likuma „Par tiesu varu” pārejas noteikumu 41.punktu zemesgrāmatu nodaļu, rajonu (pilsētu) tiesu, apgabaltiesu un Augstākās tiesas tiesnešu profesionālās darbības kārtējo novērtēšanu Tiesnešu kvalifikācijas kolēģija pirmo </w:t>
            </w:r>
            <w:r w:rsidRPr="0005709F">
              <w:lastRenderedPageBreak/>
              <w:t>reizi veic no 2013.gada 1.janvāra līdz 2016.gada 1.janvarim. Tieslietu padome pēc tieslietu ministra un Augstākās tiesas priekšsēdētāja priekšlikuma apstiprina tiesnešu sarakstu, atbilstoši kuram secīgi tiek veikta tiesnešu profesionālās darbības kārtējā novērtēšana. Ņemot vērā minēto, plānots, ka minētais tiesnešu saraksts tiks veidots tādējādi, ka tiesnešu profesionālās darbības kārtējai novērtēšanai, kas tiks veikta 2013.gadā, nebūs nepieciešami papildus budžeta līdzekļi. 2014.gadā  un 2015.gadā tiesnešu piemaksas par tiesnešu amatā nostrādāto laiku nodrošināmas atlīdzības fonda ietvaros.</w:t>
            </w:r>
          </w:p>
          <w:p w:rsidR="002553BF" w:rsidRDefault="002553BF" w:rsidP="002553BF">
            <w:pPr>
              <w:jc w:val="both"/>
            </w:pPr>
          </w:p>
          <w:p w:rsidR="002553BF" w:rsidRDefault="002553BF" w:rsidP="002553BF">
            <w:pPr>
              <w:jc w:val="both"/>
            </w:pPr>
            <w:r>
              <w:t>Norma, kas paredz, ka diplomātam, diplomātiskā un konsulārā dienesta amatpersonai (darbiniekam), kurš pastāvīgi pilda dienestu ārvalstīs, kompensē ceļa izdevumus no dienesta vietas ārvalstīs un atpakaļ, sakarā ar ierašanos uz ģimenes locekļa (laulātā, bērna, vecāku, vecvecāku, adoptētāja vai adoptētā, brāļa vai māsas) vai apgādājamā bērēm nodrošināma atlīdzības fonda ietvaros.</w:t>
            </w:r>
          </w:p>
          <w:p w:rsidR="002553BF" w:rsidRDefault="002553BF" w:rsidP="002553BF">
            <w:pPr>
              <w:jc w:val="both"/>
            </w:pPr>
          </w:p>
          <w:p w:rsidR="002553BF" w:rsidRDefault="002553BF" w:rsidP="002553BF">
            <w:pPr>
              <w:jc w:val="both"/>
            </w:pPr>
            <w:r>
              <w:t>Transporta nelaimes gadījumu un incidentu izmeklēšanas biroja izmeklētāju apdrošināšanai pret nelaimes gadījumiem nav ietekmes uz valsts budžetu un pašvaldību budžetiem. Apdrošināšanas prēmijas izmeklētājiem tiks apmaksātas no Izmeklēšanas biroja budžeta līdzekļiem, un papildus līdzekļi šim mērķim netiks prasīti.</w:t>
            </w:r>
          </w:p>
          <w:p w:rsidR="009D1794" w:rsidRDefault="009D1794" w:rsidP="002553BF">
            <w:pPr>
              <w:jc w:val="both"/>
            </w:pPr>
          </w:p>
          <w:p w:rsidR="002553BF" w:rsidRDefault="002553BF" w:rsidP="002553BF">
            <w:pPr>
              <w:jc w:val="both"/>
            </w:pPr>
            <w:r>
              <w:t>Likumprojektā ietvertie citi grozījumi nodrošināmi atlīdzības fonda ietvaros.</w:t>
            </w:r>
          </w:p>
          <w:p w:rsidR="002553BF" w:rsidRPr="00CC14F0" w:rsidRDefault="002553BF" w:rsidP="002553BF">
            <w:pPr>
              <w:jc w:val="both"/>
            </w:pPr>
          </w:p>
        </w:tc>
      </w:tr>
    </w:tbl>
    <w:p w:rsidR="00207CA2" w:rsidRPr="000410C7" w:rsidRDefault="00207CA2" w:rsidP="00207CA2">
      <w:pPr>
        <w:pStyle w:val="naiskr"/>
        <w:tabs>
          <w:tab w:val="left" w:pos="2628"/>
        </w:tabs>
        <w:spacing w:before="0" w:after="0"/>
        <w:rPr>
          <w:i/>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07CA2" w:rsidRPr="000410C7" w:rsidTr="00FB2F9B">
        <w:trPr>
          <w:jc w:val="center"/>
        </w:trPr>
        <w:tc>
          <w:tcPr>
            <w:tcW w:w="10098" w:type="dxa"/>
            <w:gridSpan w:val="3"/>
          </w:tcPr>
          <w:p w:rsidR="00207CA2" w:rsidRPr="000410C7" w:rsidRDefault="00207CA2" w:rsidP="00FB2F9B">
            <w:pPr>
              <w:pStyle w:val="naisnod"/>
              <w:spacing w:before="0" w:after="0"/>
              <w:rPr>
                <w:sz w:val="28"/>
                <w:szCs w:val="28"/>
              </w:rPr>
            </w:pPr>
            <w:r w:rsidRPr="000410C7">
              <w:rPr>
                <w:sz w:val="28"/>
                <w:szCs w:val="28"/>
              </w:rPr>
              <w:t>IV. Tiesību akta projekta ietekme uz spēkā esošo tiesību normu sistēmu</w:t>
            </w:r>
          </w:p>
        </w:tc>
      </w:tr>
      <w:tr w:rsidR="00207CA2" w:rsidRPr="000410C7" w:rsidTr="00FB2F9B">
        <w:trPr>
          <w:jc w:val="center"/>
        </w:trPr>
        <w:tc>
          <w:tcPr>
            <w:tcW w:w="798" w:type="dxa"/>
          </w:tcPr>
          <w:p w:rsidR="00207CA2" w:rsidRPr="000410C7" w:rsidRDefault="00207CA2" w:rsidP="00FB2F9B">
            <w:pPr>
              <w:pStyle w:val="naiskr"/>
              <w:tabs>
                <w:tab w:val="left" w:pos="2628"/>
              </w:tabs>
              <w:spacing w:before="0" w:after="0"/>
              <w:jc w:val="both"/>
              <w:rPr>
                <w:iCs/>
                <w:sz w:val="28"/>
                <w:szCs w:val="28"/>
              </w:rPr>
            </w:pPr>
            <w:r w:rsidRPr="000410C7">
              <w:rPr>
                <w:iCs/>
                <w:sz w:val="28"/>
                <w:szCs w:val="28"/>
              </w:rPr>
              <w:t>1.</w:t>
            </w:r>
          </w:p>
        </w:tc>
        <w:tc>
          <w:tcPr>
            <w:tcW w:w="3118" w:type="dxa"/>
          </w:tcPr>
          <w:p w:rsidR="00207CA2" w:rsidRPr="000410C7" w:rsidRDefault="00207CA2" w:rsidP="00FB2F9B">
            <w:pPr>
              <w:pStyle w:val="naiskr"/>
              <w:tabs>
                <w:tab w:val="left" w:pos="2628"/>
              </w:tabs>
              <w:spacing w:before="0" w:after="0"/>
              <w:jc w:val="both"/>
              <w:rPr>
                <w:iCs/>
                <w:sz w:val="28"/>
                <w:szCs w:val="28"/>
              </w:rPr>
            </w:pPr>
            <w:r w:rsidRPr="000410C7">
              <w:rPr>
                <w:sz w:val="28"/>
                <w:szCs w:val="28"/>
              </w:rPr>
              <w:t>Nepieciešamie saistītie tiesību aktu projekti</w:t>
            </w:r>
          </w:p>
        </w:tc>
        <w:tc>
          <w:tcPr>
            <w:tcW w:w="6182" w:type="dxa"/>
          </w:tcPr>
          <w:p w:rsidR="00DF0F58" w:rsidRPr="000571EC" w:rsidRDefault="0030291D" w:rsidP="002975C2">
            <w:pPr>
              <w:pStyle w:val="naiskr"/>
              <w:spacing w:before="0" w:after="0"/>
              <w:ind w:left="34"/>
              <w:jc w:val="both"/>
              <w:rPr>
                <w:color w:val="000000" w:themeColor="text1"/>
              </w:rPr>
            </w:pPr>
            <w:r w:rsidRPr="000571EC">
              <w:rPr>
                <w:color w:val="000000" w:themeColor="text1"/>
              </w:rPr>
              <w:t>Likumprojekts ir skatāms vienlaikus ar valsts budžeta 2013.gadam likumprojekta paketi.</w:t>
            </w:r>
          </w:p>
          <w:p w:rsidR="000571EC" w:rsidRPr="002975C2" w:rsidRDefault="000571EC" w:rsidP="002975C2">
            <w:pPr>
              <w:pStyle w:val="naiskr"/>
              <w:spacing w:before="0" w:after="0"/>
              <w:ind w:left="34"/>
              <w:jc w:val="both"/>
              <w:rPr>
                <w:i/>
                <w:color w:val="FF0000"/>
                <w:sz w:val="28"/>
                <w:szCs w:val="28"/>
              </w:rPr>
            </w:pPr>
            <w:r w:rsidRPr="000571EC">
              <w:rPr>
                <w:color w:val="000000" w:themeColor="text1"/>
              </w:rPr>
              <w:t xml:space="preserve">Nepieciešams veikt grozījumu Jūrlietu pārvaldes un jūras drošības likumā, izliedzot normu par </w:t>
            </w:r>
            <w:r w:rsidRPr="000571EC">
              <w:t>Transporta nelaimes gadījumu un incidentu izmeklēšanas biroja izmeklētāju apdrošināšanai pret nelaimes gadījumiem</w:t>
            </w:r>
            <w:r>
              <w:t>.</w:t>
            </w:r>
          </w:p>
        </w:tc>
      </w:tr>
      <w:tr w:rsidR="00207CA2" w:rsidRPr="000410C7" w:rsidTr="00FB2F9B">
        <w:trPr>
          <w:jc w:val="center"/>
        </w:trPr>
        <w:tc>
          <w:tcPr>
            <w:tcW w:w="798" w:type="dxa"/>
          </w:tcPr>
          <w:p w:rsidR="00207CA2" w:rsidRPr="000410C7" w:rsidRDefault="00207CA2" w:rsidP="00FB2F9B">
            <w:pPr>
              <w:pStyle w:val="naiskr"/>
              <w:tabs>
                <w:tab w:val="left" w:pos="2628"/>
              </w:tabs>
              <w:spacing w:before="0" w:after="0"/>
              <w:jc w:val="both"/>
              <w:rPr>
                <w:iCs/>
                <w:sz w:val="28"/>
                <w:szCs w:val="28"/>
              </w:rPr>
            </w:pPr>
            <w:r w:rsidRPr="000410C7">
              <w:rPr>
                <w:iCs/>
                <w:sz w:val="28"/>
                <w:szCs w:val="28"/>
              </w:rPr>
              <w:t>2.</w:t>
            </w:r>
          </w:p>
        </w:tc>
        <w:tc>
          <w:tcPr>
            <w:tcW w:w="3118" w:type="dxa"/>
          </w:tcPr>
          <w:p w:rsidR="00207CA2" w:rsidRPr="000410C7" w:rsidRDefault="00207CA2" w:rsidP="00FB2F9B">
            <w:pPr>
              <w:pStyle w:val="naiskr"/>
              <w:tabs>
                <w:tab w:val="left" w:pos="2628"/>
              </w:tabs>
              <w:spacing w:before="0" w:after="0"/>
              <w:jc w:val="both"/>
              <w:rPr>
                <w:iCs/>
                <w:sz w:val="28"/>
                <w:szCs w:val="28"/>
              </w:rPr>
            </w:pPr>
            <w:r w:rsidRPr="000410C7">
              <w:rPr>
                <w:sz w:val="28"/>
                <w:szCs w:val="28"/>
              </w:rPr>
              <w:t>Cita informācija</w:t>
            </w:r>
          </w:p>
        </w:tc>
        <w:tc>
          <w:tcPr>
            <w:tcW w:w="6182" w:type="dxa"/>
          </w:tcPr>
          <w:p w:rsidR="00207CA2" w:rsidRPr="000410C7" w:rsidRDefault="00207CA2" w:rsidP="00FB2F9B">
            <w:pPr>
              <w:pStyle w:val="naiskr"/>
              <w:tabs>
                <w:tab w:val="left" w:pos="2628"/>
              </w:tabs>
              <w:spacing w:before="0" w:after="0"/>
              <w:jc w:val="both"/>
              <w:rPr>
                <w:iCs/>
                <w:sz w:val="28"/>
                <w:szCs w:val="28"/>
              </w:rPr>
            </w:pPr>
            <w:r w:rsidRPr="000410C7">
              <w:rPr>
                <w:sz w:val="28"/>
                <w:szCs w:val="28"/>
              </w:rPr>
              <w:t>Nav.</w:t>
            </w:r>
          </w:p>
        </w:tc>
      </w:tr>
    </w:tbl>
    <w:p w:rsidR="00207CA2" w:rsidRPr="000410C7" w:rsidRDefault="00207CA2" w:rsidP="00207CA2">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07CA2" w:rsidRPr="000410C7" w:rsidTr="001551F5">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207CA2" w:rsidRPr="000410C7" w:rsidRDefault="00207CA2" w:rsidP="00FB2F9B">
            <w:pPr>
              <w:jc w:val="center"/>
              <w:rPr>
                <w:b/>
                <w:sz w:val="28"/>
                <w:szCs w:val="28"/>
              </w:rPr>
            </w:pPr>
            <w:r w:rsidRPr="000410C7">
              <w:rPr>
                <w:b/>
                <w:sz w:val="28"/>
                <w:szCs w:val="28"/>
              </w:rPr>
              <w:t>V. Tiesību akta projekta atbilstība Latvijas Republikas starptautiskajām saistībām</w:t>
            </w:r>
          </w:p>
        </w:tc>
      </w:tr>
      <w:tr w:rsidR="00880EEC" w:rsidRPr="000410C7" w:rsidTr="00880EEC">
        <w:tc>
          <w:tcPr>
            <w:tcW w:w="10206" w:type="dxa"/>
            <w:tcBorders>
              <w:top w:val="outset" w:sz="6" w:space="0" w:color="auto"/>
              <w:left w:val="outset" w:sz="6" w:space="0" w:color="auto"/>
              <w:bottom w:val="outset" w:sz="6" w:space="0" w:color="auto"/>
              <w:right w:val="outset" w:sz="6" w:space="0" w:color="auto"/>
            </w:tcBorders>
          </w:tcPr>
          <w:p w:rsidR="00880EEC" w:rsidRPr="000410C7" w:rsidRDefault="00880EEC" w:rsidP="00880EEC">
            <w:pPr>
              <w:ind w:left="57"/>
              <w:jc w:val="center"/>
              <w:rPr>
                <w:i/>
                <w:sz w:val="28"/>
                <w:szCs w:val="28"/>
              </w:rPr>
            </w:pPr>
            <w:r w:rsidRPr="000410C7">
              <w:rPr>
                <w:i/>
                <w:sz w:val="28"/>
                <w:szCs w:val="28"/>
              </w:rPr>
              <w:t>Projekts šo jomu neskar.</w:t>
            </w:r>
          </w:p>
        </w:tc>
      </w:tr>
    </w:tbl>
    <w:p w:rsidR="00207CA2" w:rsidRPr="000410C7" w:rsidRDefault="00207CA2" w:rsidP="00207CA2">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2"/>
        <w:gridCol w:w="24"/>
      </w:tblGrid>
      <w:tr w:rsidR="00207CA2" w:rsidRPr="000410C7" w:rsidTr="00FB2F9B">
        <w:trPr>
          <w:jc w:val="center"/>
        </w:trPr>
        <w:tc>
          <w:tcPr>
            <w:tcW w:w="10256" w:type="dxa"/>
            <w:gridSpan w:val="2"/>
          </w:tcPr>
          <w:p w:rsidR="00207CA2" w:rsidRPr="000410C7" w:rsidRDefault="00207CA2" w:rsidP="00FB2F9B">
            <w:pPr>
              <w:pStyle w:val="naisnod"/>
              <w:spacing w:before="0" w:after="0"/>
              <w:ind w:left="57" w:right="57"/>
              <w:rPr>
                <w:sz w:val="28"/>
                <w:szCs w:val="28"/>
              </w:rPr>
            </w:pPr>
            <w:r w:rsidRPr="000410C7">
              <w:rPr>
                <w:sz w:val="28"/>
                <w:szCs w:val="28"/>
              </w:rPr>
              <w:t>VI. Sabiedrības līdzdalība un šīs līdzdalības rezultāti</w:t>
            </w:r>
          </w:p>
        </w:tc>
      </w:tr>
      <w:tr w:rsidR="00880EEC" w:rsidRPr="000410C7" w:rsidTr="00880EEC">
        <w:trPr>
          <w:gridAfter w:val="1"/>
          <w:wAfter w:w="24" w:type="dxa"/>
          <w:trHeight w:val="553"/>
          <w:jc w:val="center"/>
        </w:trPr>
        <w:tc>
          <w:tcPr>
            <w:tcW w:w="10232" w:type="dxa"/>
          </w:tcPr>
          <w:p w:rsidR="00880EEC" w:rsidRPr="000410C7" w:rsidRDefault="00880EEC" w:rsidP="00880EEC">
            <w:pPr>
              <w:pStyle w:val="naiskr"/>
              <w:spacing w:before="0" w:after="0"/>
              <w:ind w:left="57" w:right="57"/>
              <w:jc w:val="center"/>
              <w:rPr>
                <w:i/>
                <w:sz w:val="28"/>
                <w:szCs w:val="28"/>
              </w:rPr>
            </w:pPr>
            <w:r w:rsidRPr="000410C7">
              <w:rPr>
                <w:i/>
                <w:sz w:val="28"/>
                <w:szCs w:val="28"/>
              </w:rPr>
              <w:t>Projekts šo jomu neskar.</w:t>
            </w:r>
          </w:p>
        </w:tc>
      </w:tr>
    </w:tbl>
    <w:p w:rsidR="00207CA2" w:rsidRPr="000410C7" w:rsidRDefault="00207CA2" w:rsidP="00207CA2">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4488"/>
        <w:gridCol w:w="5299"/>
      </w:tblGrid>
      <w:tr w:rsidR="00207CA2" w:rsidRPr="000410C7" w:rsidTr="00FB2F9B">
        <w:tc>
          <w:tcPr>
            <w:tcW w:w="10264" w:type="dxa"/>
            <w:gridSpan w:val="3"/>
            <w:tcBorders>
              <w:top w:val="single" w:sz="4" w:space="0" w:color="auto"/>
            </w:tcBorders>
          </w:tcPr>
          <w:p w:rsidR="00207CA2" w:rsidRPr="000410C7" w:rsidRDefault="00207CA2" w:rsidP="00FB2F9B">
            <w:pPr>
              <w:pStyle w:val="naisnod"/>
              <w:spacing w:before="0" w:after="0"/>
              <w:ind w:left="57" w:right="57"/>
              <w:rPr>
                <w:sz w:val="28"/>
                <w:szCs w:val="28"/>
              </w:rPr>
            </w:pPr>
            <w:r w:rsidRPr="000410C7">
              <w:rPr>
                <w:sz w:val="28"/>
                <w:szCs w:val="28"/>
              </w:rPr>
              <w:t>VII. Tiesību akta projekta izpildes nodrošināšana un tās ietekme uz institūcijām</w:t>
            </w:r>
          </w:p>
        </w:tc>
      </w:tr>
      <w:tr w:rsidR="00207CA2" w:rsidRPr="000410C7" w:rsidTr="00C10C5A">
        <w:trPr>
          <w:trHeight w:val="427"/>
        </w:trPr>
        <w:tc>
          <w:tcPr>
            <w:tcW w:w="477" w:type="dxa"/>
          </w:tcPr>
          <w:p w:rsidR="00207CA2" w:rsidRPr="000410C7" w:rsidRDefault="00207CA2" w:rsidP="00FB2F9B">
            <w:pPr>
              <w:pStyle w:val="naisnod"/>
              <w:spacing w:before="0" w:after="0"/>
              <w:ind w:left="57" w:right="57"/>
              <w:jc w:val="left"/>
              <w:rPr>
                <w:b w:val="0"/>
                <w:sz w:val="28"/>
                <w:szCs w:val="28"/>
              </w:rPr>
            </w:pPr>
            <w:r w:rsidRPr="000410C7">
              <w:rPr>
                <w:b w:val="0"/>
                <w:sz w:val="28"/>
                <w:szCs w:val="28"/>
              </w:rPr>
              <w:t>1.</w:t>
            </w:r>
          </w:p>
        </w:tc>
        <w:tc>
          <w:tcPr>
            <w:tcW w:w="4488" w:type="dxa"/>
          </w:tcPr>
          <w:p w:rsidR="00207CA2" w:rsidRPr="000410C7" w:rsidRDefault="00207CA2" w:rsidP="00FB2F9B">
            <w:pPr>
              <w:pStyle w:val="naisf"/>
              <w:spacing w:before="0" w:after="0"/>
              <w:ind w:left="57" w:right="57" w:firstLine="0"/>
              <w:jc w:val="left"/>
              <w:rPr>
                <w:sz w:val="28"/>
                <w:szCs w:val="28"/>
              </w:rPr>
            </w:pPr>
            <w:r w:rsidRPr="000410C7">
              <w:rPr>
                <w:sz w:val="28"/>
                <w:szCs w:val="28"/>
              </w:rPr>
              <w:t xml:space="preserve">Projekta izpildē iesaistītās institūcijas </w:t>
            </w:r>
          </w:p>
        </w:tc>
        <w:tc>
          <w:tcPr>
            <w:tcW w:w="5299" w:type="dxa"/>
          </w:tcPr>
          <w:p w:rsidR="00005555" w:rsidRPr="00E6245C" w:rsidRDefault="00E6245C" w:rsidP="00235598">
            <w:pPr>
              <w:pStyle w:val="naisnod"/>
              <w:spacing w:before="0" w:after="0"/>
              <w:ind w:left="57" w:right="57"/>
              <w:jc w:val="both"/>
              <w:rPr>
                <w:b w:val="0"/>
                <w:sz w:val="28"/>
                <w:szCs w:val="28"/>
              </w:rPr>
            </w:pPr>
            <w:r w:rsidRPr="00E6245C">
              <w:rPr>
                <w:b w:val="0"/>
                <w:sz w:val="28"/>
                <w:szCs w:val="28"/>
              </w:rPr>
              <w:t xml:space="preserve">Projekta izpildi nodrošinās </w:t>
            </w:r>
            <w:r w:rsidR="005D4608">
              <w:rPr>
                <w:b w:val="0"/>
                <w:sz w:val="28"/>
                <w:szCs w:val="28"/>
              </w:rPr>
              <w:t>valsts un pašvaldību institūcijas</w:t>
            </w:r>
            <w:r w:rsidRPr="00E6245C">
              <w:rPr>
                <w:b w:val="0"/>
                <w:sz w:val="28"/>
                <w:szCs w:val="28"/>
              </w:rPr>
              <w:t xml:space="preserve"> normatīvajos aktos noteiktajā kārtībā.</w:t>
            </w:r>
          </w:p>
        </w:tc>
      </w:tr>
      <w:tr w:rsidR="00207CA2" w:rsidRPr="000410C7" w:rsidTr="00C10C5A">
        <w:trPr>
          <w:trHeight w:val="463"/>
        </w:trPr>
        <w:tc>
          <w:tcPr>
            <w:tcW w:w="477" w:type="dxa"/>
          </w:tcPr>
          <w:p w:rsidR="00207CA2" w:rsidRPr="000410C7" w:rsidRDefault="00207CA2" w:rsidP="00FB2F9B">
            <w:pPr>
              <w:pStyle w:val="naisnod"/>
              <w:spacing w:before="0" w:after="0"/>
              <w:ind w:left="57" w:right="57"/>
              <w:jc w:val="left"/>
              <w:rPr>
                <w:b w:val="0"/>
                <w:sz w:val="28"/>
                <w:szCs w:val="28"/>
              </w:rPr>
            </w:pPr>
            <w:r w:rsidRPr="000410C7">
              <w:rPr>
                <w:b w:val="0"/>
                <w:sz w:val="28"/>
                <w:szCs w:val="28"/>
              </w:rPr>
              <w:t>2.</w:t>
            </w:r>
          </w:p>
        </w:tc>
        <w:tc>
          <w:tcPr>
            <w:tcW w:w="4488" w:type="dxa"/>
          </w:tcPr>
          <w:p w:rsidR="00207CA2" w:rsidRPr="000410C7" w:rsidRDefault="00207CA2" w:rsidP="00FB2F9B">
            <w:pPr>
              <w:pStyle w:val="naisf"/>
              <w:spacing w:before="0" w:after="0"/>
              <w:ind w:left="57" w:right="57" w:firstLine="0"/>
              <w:jc w:val="left"/>
              <w:rPr>
                <w:sz w:val="28"/>
                <w:szCs w:val="28"/>
              </w:rPr>
            </w:pPr>
            <w:r w:rsidRPr="000410C7">
              <w:rPr>
                <w:sz w:val="28"/>
                <w:szCs w:val="28"/>
              </w:rPr>
              <w:t xml:space="preserve">Projekta izpildes ietekme uz pārvaldes funkcijām </w:t>
            </w:r>
          </w:p>
        </w:tc>
        <w:tc>
          <w:tcPr>
            <w:tcW w:w="5299" w:type="dxa"/>
          </w:tcPr>
          <w:p w:rsidR="00207CA2" w:rsidRPr="005D4608" w:rsidRDefault="00706669" w:rsidP="00FB2F9B">
            <w:pPr>
              <w:pStyle w:val="naisnod"/>
              <w:spacing w:before="0" w:after="0"/>
              <w:ind w:left="57" w:right="57"/>
              <w:jc w:val="both"/>
              <w:rPr>
                <w:b w:val="0"/>
                <w:i/>
                <w:sz w:val="28"/>
                <w:szCs w:val="28"/>
              </w:rPr>
            </w:pPr>
            <w:r w:rsidRPr="005D4608">
              <w:rPr>
                <w:b w:val="0"/>
                <w:i/>
                <w:sz w:val="28"/>
                <w:szCs w:val="28"/>
              </w:rPr>
              <w:t>Projekts šo jomu neskar.</w:t>
            </w:r>
          </w:p>
        </w:tc>
      </w:tr>
      <w:tr w:rsidR="00207CA2" w:rsidRPr="000410C7" w:rsidTr="00C10C5A">
        <w:trPr>
          <w:trHeight w:val="725"/>
        </w:trPr>
        <w:tc>
          <w:tcPr>
            <w:tcW w:w="477" w:type="dxa"/>
          </w:tcPr>
          <w:p w:rsidR="00207CA2" w:rsidRPr="000410C7" w:rsidRDefault="00207CA2" w:rsidP="00FB2F9B">
            <w:pPr>
              <w:pStyle w:val="naisnod"/>
              <w:spacing w:before="0" w:after="0"/>
              <w:ind w:left="57" w:right="57"/>
              <w:jc w:val="left"/>
              <w:rPr>
                <w:b w:val="0"/>
                <w:sz w:val="28"/>
                <w:szCs w:val="28"/>
              </w:rPr>
            </w:pPr>
            <w:r w:rsidRPr="000410C7">
              <w:rPr>
                <w:b w:val="0"/>
                <w:sz w:val="28"/>
                <w:szCs w:val="28"/>
              </w:rPr>
              <w:lastRenderedPageBreak/>
              <w:t>3.</w:t>
            </w:r>
          </w:p>
        </w:tc>
        <w:tc>
          <w:tcPr>
            <w:tcW w:w="4488" w:type="dxa"/>
          </w:tcPr>
          <w:p w:rsidR="00207CA2" w:rsidRPr="000410C7" w:rsidRDefault="00207CA2" w:rsidP="00FB2F9B">
            <w:pPr>
              <w:pStyle w:val="naisf"/>
              <w:spacing w:before="0" w:after="0"/>
              <w:ind w:left="57" w:right="57" w:firstLine="0"/>
              <w:jc w:val="left"/>
              <w:rPr>
                <w:sz w:val="28"/>
                <w:szCs w:val="28"/>
              </w:rPr>
            </w:pPr>
            <w:r w:rsidRPr="000410C7">
              <w:rPr>
                <w:sz w:val="28"/>
                <w:szCs w:val="28"/>
              </w:rPr>
              <w:t>Projekta izpildes ietekme uz pārvaldes institucionālo struktūru.</w:t>
            </w:r>
          </w:p>
          <w:p w:rsidR="00207CA2" w:rsidRPr="000410C7" w:rsidRDefault="00207CA2" w:rsidP="00FB2F9B">
            <w:pPr>
              <w:pStyle w:val="naisf"/>
              <w:spacing w:before="0" w:after="0"/>
              <w:ind w:left="57" w:right="57" w:firstLine="0"/>
              <w:jc w:val="left"/>
              <w:rPr>
                <w:sz w:val="28"/>
                <w:szCs w:val="28"/>
              </w:rPr>
            </w:pPr>
            <w:r w:rsidRPr="000410C7">
              <w:rPr>
                <w:sz w:val="28"/>
                <w:szCs w:val="28"/>
              </w:rPr>
              <w:t>Jaunu institūciju izveide</w:t>
            </w:r>
          </w:p>
        </w:tc>
        <w:tc>
          <w:tcPr>
            <w:tcW w:w="5299" w:type="dxa"/>
          </w:tcPr>
          <w:p w:rsidR="00207CA2" w:rsidRPr="005D4608" w:rsidRDefault="00706669" w:rsidP="00C10C5A">
            <w:pPr>
              <w:pStyle w:val="naisnod"/>
              <w:spacing w:before="0" w:after="0"/>
              <w:ind w:left="57" w:right="57"/>
              <w:jc w:val="both"/>
              <w:rPr>
                <w:b w:val="0"/>
                <w:i/>
                <w:sz w:val="28"/>
                <w:szCs w:val="28"/>
              </w:rPr>
            </w:pPr>
            <w:r w:rsidRPr="005D4608">
              <w:rPr>
                <w:b w:val="0"/>
                <w:i/>
                <w:sz w:val="28"/>
                <w:szCs w:val="28"/>
              </w:rPr>
              <w:t>Projekts šo jomu neskar.</w:t>
            </w:r>
          </w:p>
        </w:tc>
      </w:tr>
      <w:tr w:rsidR="00207CA2" w:rsidRPr="000410C7" w:rsidTr="00C10C5A">
        <w:trPr>
          <w:trHeight w:val="780"/>
        </w:trPr>
        <w:tc>
          <w:tcPr>
            <w:tcW w:w="477" w:type="dxa"/>
          </w:tcPr>
          <w:p w:rsidR="00207CA2" w:rsidRPr="000410C7" w:rsidRDefault="00207CA2" w:rsidP="00FB2F9B">
            <w:pPr>
              <w:pStyle w:val="naisnod"/>
              <w:spacing w:before="0" w:after="0"/>
              <w:ind w:left="57" w:right="57"/>
              <w:jc w:val="left"/>
              <w:rPr>
                <w:b w:val="0"/>
                <w:sz w:val="28"/>
                <w:szCs w:val="28"/>
              </w:rPr>
            </w:pPr>
            <w:r w:rsidRPr="000410C7">
              <w:rPr>
                <w:b w:val="0"/>
                <w:sz w:val="28"/>
                <w:szCs w:val="28"/>
              </w:rPr>
              <w:t>4.</w:t>
            </w:r>
          </w:p>
        </w:tc>
        <w:tc>
          <w:tcPr>
            <w:tcW w:w="4488" w:type="dxa"/>
          </w:tcPr>
          <w:p w:rsidR="00207CA2" w:rsidRPr="000410C7" w:rsidRDefault="00207CA2" w:rsidP="00FB2F9B">
            <w:pPr>
              <w:pStyle w:val="naisf"/>
              <w:spacing w:before="0" w:after="0"/>
              <w:ind w:left="57" w:right="57" w:firstLine="0"/>
              <w:jc w:val="left"/>
              <w:rPr>
                <w:sz w:val="28"/>
                <w:szCs w:val="28"/>
              </w:rPr>
            </w:pPr>
            <w:r w:rsidRPr="000410C7">
              <w:rPr>
                <w:sz w:val="28"/>
                <w:szCs w:val="28"/>
              </w:rPr>
              <w:t>Projekta izpildes ietekme uz pārvaldes institucionālo struktūru.</w:t>
            </w:r>
          </w:p>
          <w:p w:rsidR="00207CA2" w:rsidRPr="000410C7" w:rsidRDefault="00207CA2" w:rsidP="00FB2F9B">
            <w:pPr>
              <w:pStyle w:val="naisf"/>
              <w:spacing w:before="0" w:after="0"/>
              <w:ind w:left="57" w:right="57" w:firstLine="0"/>
              <w:jc w:val="left"/>
              <w:rPr>
                <w:sz w:val="28"/>
                <w:szCs w:val="28"/>
              </w:rPr>
            </w:pPr>
            <w:r w:rsidRPr="000410C7">
              <w:rPr>
                <w:sz w:val="28"/>
                <w:szCs w:val="28"/>
              </w:rPr>
              <w:t>Esošu institūciju likvidācija</w:t>
            </w:r>
          </w:p>
        </w:tc>
        <w:tc>
          <w:tcPr>
            <w:tcW w:w="5299" w:type="dxa"/>
          </w:tcPr>
          <w:p w:rsidR="00207CA2" w:rsidRPr="005D4608" w:rsidRDefault="00706669" w:rsidP="00C10C5A">
            <w:pPr>
              <w:pStyle w:val="naisnod"/>
              <w:spacing w:before="0" w:after="0"/>
              <w:ind w:left="57" w:right="57"/>
              <w:jc w:val="both"/>
              <w:rPr>
                <w:b w:val="0"/>
                <w:i/>
                <w:sz w:val="28"/>
                <w:szCs w:val="28"/>
              </w:rPr>
            </w:pPr>
            <w:r w:rsidRPr="005D4608">
              <w:rPr>
                <w:b w:val="0"/>
                <w:i/>
                <w:sz w:val="28"/>
                <w:szCs w:val="28"/>
              </w:rPr>
              <w:t>Projekts šo jomu neskar.</w:t>
            </w:r>
          </w:p>
        </w:tc>
      </w:tr>
      <w:tr w:rsidR="00207CA2" w:rsidRPr="000410C7" w:rsidTr="00C10C5A">
        <w:trPr>
          <w:trHeight w:val="703"/>
        </w:trPr>
        <w:tc>
          <w:tcPr>
            <w:tcW w:w="477" w:type="dxa"/>
          </w:tcPr>
          <w:p w:rsidR="00207CA2" w:rsidRPr="000410C7" w:rsidRDefault="00207CA2" w:rsidP="00FB2F9B">
            <w:pPr>
              <w:pStyle w:val="naisnod"/>
              <w:spacing w:before="0" w:after="0"/>
              <w:ind w:left="57" w:right="57"/>
              <w:jc w:val="left"/>
              <w:rPr>
                <w:b w:val="0"/>
                <w:sz w:val="28"/>
                <w:szCs w:val="28"/>
              </w:rPr>
            </w:pPr>
            <w:r w:rsidRPr="000410C7">
              <w:rPr>
                <w:b w:val="0"/>
                <w:sz w:val="28"/>
                <w:szCs w:val="28"/>
              </w:rPr>
              <w:t>5.</w:t>
            </w:r>
          </w:p>
        </w:tc>
        <w:tc>
          <w:tcPr>
            <w:tcW w:w="4488" w:type="dxa"/>
          </w:tcPr>
          <w:p w:rsidR="00207CA2" w:rsidRPr="000410C7" w:rsidRDefault="00207CA2" w:rsidP="00FB2F9B">
            <w:pPr>
              <w:pStyle w:val="naisf"/>
              <w:spacing w:before="0" w:after="0"/>
              <w:ind w:left="57" w:right="57" w:firstLine="0"/>
              <w:jc w:val="left"/>
              <w:rPr>
                <w:sz w:val="28"/>
                <w:szCs w:val="28"/>
              </w:rPr>
            </w:pPr>
            <w:r w:rsidRPr="000410C7">
              <w:rPr>
                <w:sz w:val="28"/>
                <w:szCs w:val="28"/>
              </w:rPr>
              <w:t>Projekta izpildes ietekme uz pārvaldes institucionālo struktūru.</w:t>
            </w:r>
          </w:p>
          <w:p w:rsidR="00207CA2" w:rsidRPr="000410C7" w:rsidRDefault="00207CA2" w:rsidP="00FB2F9B">
            <w:pPr>
              <w:pStyle w:val="naisf"/>
              <w:spacing w:before="0" w:after="0"/>
              <w:ind w:left="57" w:right="57" w:firstLine="0"/>
              <w:jc w:val="left"/>
              <w:rPr>
                <w:sz w:val="28"/>
                <w:szCs w:val="28"/>
              </w:rPr>
            </w:pPr>
            <w:r w:rsidRPr="000410C7">
              <w:rPr>
                <w:sz w:val="28"/>
                <w:szCs w:val="28"/>
              </w:rPr>
              <w:t>Esošu institūciju reorganizācija</w:t>
            </w:r>
          </w:p>
        </w:tc>
        <w:tc>
          <w:tcPr>
            <w:tcW w:w="5299" w:type="dxa"/>
          </w:tcPr>
          <w:p w:rsidR="00207CA2" w:rsidRPr="005D4608" w:rsidRDefault="00706669" w:rsidP="00C10C5A">
            <w:pPr>
              <w:pStyle w:val="naisnod"/>
              <w:spacing w:before="0" w:after="0"/>
              <w:ind w:left="57" w:right="57"/>
              <w:jc w:val="both"/>
              <w:rPr>
                <w:b w:val="0"/>
                <w:i/>
                <w:sz w:val="28"/>
                <w:szCs w:val="28"/>
              </w:rPr>
            </w:pPr>
            <w:r w:rsidRPr="005D4608">
              <w:rPr>
                <w:b w:val="0"/>
                <w:i/>
                <w:sz w:val="28"/>
                <w:szCs w:val="28"/>
              </w:rPr>
              <w:t>Projekts šo jomu neskar.</w:t>
            </w:r>
          </w:p>
        </w:tc>
      </w:tr>
      <w:tr w:rsidR="00207CA2" w:rsidRPr="000410C7" w:rsidTr="00C10C5A">
        <w:trPr>
          <w:trHeight w:val="476"/>
        </w:trPr>
        <w:tc>
          <w:tcPr>
            <w:tcW w:w="477" w:type="dxa"/>
          </w:tcPr>
          <w:p w:rsidR="00207CA2" w:rsidRPr="000410C7" w:rsidRDefault="00207CA2" w:rsidP="00FB2F9B">
            <w:pPr>
              <w:pStyle w:val="naiskr"/>
              <w:spacing w:before="0" w:after="0"/>
              <w:ind w:left="57" w:right="57"/>
              <w:rPr>
                <w:sz w:val="28"/>
                <w:szCs w:val="28"/>
              </w:rPr>
            </w:pPr>
            <w:r w:rsidRPr="000410C7">
              <w:rPr>
                <w:sz w:val="28"/>
                <w:szCs w:val="28"/>
              </w:rPr>
              <w:t>6.</w:t>
            </w:r>
          </w:p>
        </w:tc>
        <w:tc>
          <w:tcPr>
            <w:tcW w:w="4488" w:type="dxa"/>
          </w:tcPr>
          <w:p w:rsidR="00207CA2" w:rsidRPr="000410C7" w:rsidRDefault="00207CA2" w:rsidP="00FB2F9B">
            <w:pPr>
              <w:pStyle w:val="naiskr"/>
              <w:spacing w:before="0" w:after="0"/>
              <w:ind w:left="57" w:right="57"/>
              <w:rPr>
                <w:sz w:val="28"/>
                <w:szCs w:val="28"/>
              </w:rPr>
            </w:pPr>
            <w:r w:rsidRPr="000410C7">
              <w:rPr>
                <w:sz w:val="28"/>
                <w:szCs w:val="28"/>
              </w:rPr>
              <w:t>Cita informācija</w:t>
            </w:r>
          </w:p>
        </w:tc>
        <w:tc>
          <w:tcPr>
            <w:tcW w:w="5299" w:type="dxa"/>
          </w:tcPr>
          <w:p w:rsidR="00207CA2" w:rsidRPr="000410C7" w:rsidRDefault="00207CA2" w:rsidP="00FB2F9B">
            <w:pPr>
              <w:pStyle w:val="naiskr"/>
              <w:spacing w:before="0" w:after="0"/>
              <w:ind w:left="57" w:right="57"/>
              <w:rPr>
                <w:sz w:val="28"/>
                <w:szCs w:val="28"/>
              </w:rPr>
            </w:pPr>
            <w:r w:rsidRPr="000410C7">
              <w:rPr>
                <w:sz w:val="28"/>
                <w:szCs w:val="28"/>
              </w:rPr>
              <w:t>Nav</w:t>
            </w:r>
          </w:p>
        </w:tc>
      </w:tr>
    </w:tbl>
    <w:p w:rsidR="00207CA2" w:rsidRPr="000410C7" w:rsidRDefault="00207CA2" w:rsidP="00207CA2">
      <w:pPr>
        <w:pStyle w:val="naisf"/>
        <w:tabs>
          <w:tab w:val="left" w:pos="5760"/>
        </w:tabs>
        <w:spacing w:before="0" w:after="0"/>
        <w:ind w:firstLine="720"/>
        <w:rPr>
          <w:sz w:val="28"/>
          <w:szCs w:val="28"/>
        </w:rPr>
      </w:pPr>
    </w:p>
    <w:p w:rsidR="00C10C5A" w:rsidRDefault="00C10C5A" w:rsidP="00207CA2">
      <w:pPr>
        <w:tabs>
          <w:tab w:val="right" w:pos="9074"/>
        </w:tabs>
        <w:rPr>
          <w:sz w:val="28"/>
          <w:szCs w:val="28"/>
        </w:rPr>
      </w:pPr>
      <w:r>
        <w:rPr>
          <w:sz w:val="28"/>
          <w:szCs w:val="28"/>
        </w:rPr>
        <w:t xml:space="preserve"> </w:t>
      </w:r>
    </w:p>
    <w:p w:rsidR="00042851" w:rsidRDefault="00042851" w:rsidP="00207CA2">
      <w:pPr>
        <w:tabs>
          <w:tab w:val="right" w:pos="9074"/>
        </w:tabs>
        <w:rPr>
          <w:sz w:val="28"/>
          <w:szCs w:val="28"/>
        </w:rPr>
      </w:pPr>
    </w:p>
    <w:p w:rsidR="00207CA2" w:rsidRPr="000410C7" w:rsidRDefault="00F54D04" w:rsidP="00207CA2">
      <w:pPr>
        <w:tabs>
          <w:tab w:val="right" w:pos="9074"/>
        </w:tabs>
        <w:rPr>
          <w:sz w:val="28"/>
          <w:szCs w:val="28"/>
        </w:rPr>
      </w:pPr>
      <w:r>
        <w:rPr>
          <w:sz w:val="28"/>
          <w:szCs w:val="28"/>
        </w:rPr>
        <w:t>Finanšu</w:t>
      </w:r>
      <w:r w:rsidR="00C10C5A" w:rsidRPr="000410C7">
        <w:rPr>
          <w:sz w:val="28"/>
          <w:szCs w:val="28"/>
        </w:rPr>
        <w:t xml:space="preserve"> </w:t>
      </w:r>
      <w:r w:rsidR="00207CA2" w:rsidRPr="000410C7">
        <w:rPr>
          <w:sz w:val="28"/>
          <w:szCs w:val="28"/>
        </w:rPr>
        <w:t>ministrs</w:t>
      </w:r>
      <w:r w:rsidR="00207CA2" w:rsidRPr="000410C7">
        <w:rPr>
          <w:sz w:val="28"/>
          <w:szCs w:val="28"/>
        </w:rPr>
        <w:tab/>
        <w:t>A.</w:t>
      </w:r>
      <w:r>
        <w:rPr>
          <w:sz w:val="28"/>
          <w:szCs w:val="28"/>
        </w:rPr>
        <w:t>Vilks</w:t>
      </w:r>
    </w:p>
    <w:p w:rsidR="00207CA2" w:rsidRDefault="00207CA2" w:rsidP="00207CA2">
      <w:pPr>
        <w:tabs>
          <w:tab w:val="right" w:pos="9000"/>
        </w:tabs>
        <w:jc w:val="both"/>
        <w:rPr>
          <w:sz w:val="28"/>
          <w:szCs w:val="28"/>
        </w:rPr>
      </w:pPr>
    </w:p>
    <w:p w:rsidR="009B6E5F" w:rsidRPr="000410C7" w:rsidRDefault="009B6E5F" w:rsidP="00207CA2">
      <w:pPr>
        <w:tabs>
          <w:tab w:val="right" w:pos="9000"/>
        </w:tabs>
        <w:jc w:val="both"/>
        <w:rPr>
          <w:sz w:val="28"/>
          <w:szCs w:val="28"/>
        </w:rPr>
      </w:pPr>
    </w:p>
    <w:p w:rsidR="00207CA2" w:rsidRDefault="00207CA2" w:rsidP="00207CA2">
      <w:pPr>
        <w:tabs>
          <w:tab w:val="left" w:pos="1560"/>
        </w:tabs>
        <w:rPr>
          <w:sz w:val="20"/>
          <w:szCs w:val="20"/>
        </w:rPr>
      </w:pPr>
    </w:p>
    <w:p w:rsidR="00207CA2" w:rsidRDefault="00207CA2" w:rsidP="00207CA2">
      <w:pPr>
        <w:tabs>
          <w:tab w:val="left" w:pos="1560"/>
        </w:tabs>
        <w:rPr>
          <w:sz w:val="20"/>
          <w:szCs w:val="20"/>
        </w:rPr>
      </w:pPr>
      <w:r>
        <w:rPr>
          <w:sz w:val="20"/>
          <w:szCs w:val="20"/>
        </w:rPr>
        <w:tab/>
      </w:r>
    </w:p>
    <w:p w:rsidR="003F6557" w:rsidRDefault="003F6557" w:rsidP="00207CA2">
      <w:pPr>
        <w:rPr>
          <w:sz w:val="20"/>
          <w:szCs w:val="20"/>
        </w:rPr>
      </w:pPr>
    </w:p>
    <w:p w:rsidR="00C36F1F" w:rsidRDefault="00C36F1F" w:rsidP="00207CA2">
      <w:pPr>
        <w:rPr>
          <w:sz w:val="20"/>
          <w:szCs w:val="20"/>
        </w:rPr>
      </w:pPr>
    </w:p>
    <w:p w:rsidR="00C36F1F" w:rsidRDefault="00C36F1F" w:rsidP="00207CA2">
      <w:pPr>
        <w:rPr>
          <w:sz w:val="20"/>
          <w:szCs w:val="20"/>
        </w:rPr>
      </w:pPr>
    </w:p>
    <w:p w:rsidR="00C36F1F" w:rsidRDefault="00C36F1F" w:rsidP="00207CA2">
      <w:pPr>
        <w:rPr>
          <w:sz w:val="20"/>
          <w:szCs w:val="20"/>
        </w:rPr>
      </w:pPr>
    </w:p>
    <w:p w:rsidR="00C36F1F" w:rsidRDefault="00C36F1F" w:rsidP="00207CA2">
      <w:pPr>
        <w:rPr>
          <w:sz w:val="20"/>
          <w:szCs w:val="20"/>
        </w:rPr>
      </w:pPr>
    </w:p>
    <w:p w:rsidR="00C36F1F" w:rsidRDefault="00C36F1F" w:rsidP="00207CA2">
      <w:pPr>
        <w:rPr>
          <w:sz w:val="20"/>
          <w:szCs w:val="20"/>
        </w:rPr>
      </w:pPr>
    </w:p>
    <w:p w:rsidR="00C36F1F" w:rsidRDefault="00C36F1F" w:rsidP="00207CA2">
      <w:pPr>
        <w:rPr>
          <w:sz w:val="20"/>
          <w:szCs w:val="20"/>
        </w:rPr>
      </w:pPr>
    </w:p>
    <w:p w:rsidR="00C36F1F" w:rsidRDefault="00C36F1F" w:rsidP="00207CA2">
      <w:pPr>
        <w:rPr>
          <w:sz w:val="20"/>
          <w:szCs w:val="20"/>
        </w:rPr>
      </w:pPr>
    </w:p>
    <w:p w:rsidR="009A2270" w:rsidRDefault="009A2270" w:rsidP="00207CA2">
      <w:pPr>
        <w:rPr>
          <w:sz w:val="20"/>
          <w:szCs w:val="20"/>
        </w:rPr>
      </w:pPr>
    </w:p>
    <w:p w:rsidR="009A2270" w:rsidRDefault="009A2270" w:rsidP="00207CA2">
      <w:pPr>
        <w:rPr>
          <w:sz w:val="20"/>
          <w:szCs w:val="20"/>
        </w:rPr>
      </w:pPr>
    </w:p>
    <w:p w:rsidR="009A2270" w:rsidRDefault="009A2270" w:rsidP="00207CA2">
      <w:pPr>
        <w:rPr>
          <w:sz w:val="20"/>
          <w:szCs w:val="20"/>
        </w:rPr>
      </w:pPr>
    </w:p>
    <w:p w:rsidR="009A2270" w:rsidRDefault="009A2270" w:rsidP="00207CA2">
      <w:pPr>
        <w:rPr>
          <w:sz w:val="20"/>
          <w:szCs w:val="20"/>
        </w:rPr>
      </w:pPr>
    </w:p>
    <w:p w:rsidR="009A2270" w:rsidRDefault="009A2270" w:rsidP="00207CA2">
      <w:pPr>
        <w:rPr>
          <w:sz w:val="20"/>
          <w:szCs w:val="20"/>
        </w:rPr>
      </w:pPr>
    </w:p>
    <w:p w:rsidR="009A2270" w:rsidRDefault="009A2270" w:rsidP="00207CA2">
      <w:pPr>
        <w:rPr>
          <w:sz w:val="20"/>
          <w:szCs w:val="20"/>
        </w:rPr>
      </w:pPr>
    </w:p>
    <w:p w:rsidR="009A2270" w:rsidRDefault="009A2270" w:rsidP="00207CA2">
      <w:pPr>
        <w:rPr>
          <w:sz w:val="20"/>
          <w:szCs w:val="20"/>
        </w:rPr>
      </w:pPr>
    </w:p>
    <w:p w:rsidR="009A2270" w:rsidRDefault="009A2270" w:rsidP="00207CA2">
      <w:pPr>
        <w:rPr>
          <w:sz w:val="20"/>
          <w:szCs w:val="20"/>
        </w:rPr>
      </w:pPr>
    </w:p>
    <w:p w:rsidR="00C36F1F" w:rsidRDefault="00C36F1F" w:rsidP="00207CA2">
      <w:pPr>
        <w:rPr>
          <w:sz w:val="20"/>
          <w:szCs w:val="20"/>
        </w:rPr>
      </w:pPr>
    </w:p>
    <w:p w:rsidR="00C36F1F" w:rsidRDefault="00C36F1F" w:rsidP="00207CA2">
      <w:pPr>
        <w:rPr>
          <w:sz w:val="20"/>
          <w:szCs w:val="20"/>
        </w:rPr>
      </w:pPr>
    </w:p>
    <w:p w:rsidR="003F6557" w:rsidRDefault="003F6557" w:rsidP="00207CA2">
      <w:pPr>
        <w:rPr>
          <w:sz w:val="20"/>
          <w:szCs w:val="20"/>
        </w:rPr>
      </w:pPr>
    </w:p>
    <w:p w:rsidR="002A32CE" w:rsidRDefault="002A32CE" w:rsidP="00207CA2">
      <w:pPr>
        <w:pStyle w:val="Header"/>
        <w:rPr>
          <w:sz w:val="20"/>
          <w:szCs w:val="20"/>
        </w:rPr>
      </w:pPr>
      <w:r>
        <w:rPr>
          <w:sz w:val="20"/>
          <w:szCs w:val="20"/>
        </w:rPr>
        <w:t>13.09.2012 13:18</w:t>
      </w:r>
    </w:p>
    <w:p w:rsidR="001F41D8" w:rsidRDefault="001F41D8" w:rsidP="00207CA2">
      <w:pPr>
        <w:pStyle w:val="Header"/>
        <w:rPr>
          <w:sz w:val="20"/>
          <w:szCs w:val="20"/>
        </w:rPr>
      </w:pPr>
      <w:r>
        <w:rPr>
          <w:sz w:val="20"/>
          <w:szCs w:val="20"/>
        </w:rPr>
        <w:fldChar w:fldCharType="begin"/>
      </w:r>
      <w:r>
        <w:rPr>
          <w:sz w:val="20"/>
          <w:szCs w:val="20"/>
        </w:rPr>
        <w:instrText xml:space="preserve"> NUMWORDS  \# "# ##0"  \* MERGEFORMAT </w:instrText>
      </w:r>
      <w:r>
        <w:rPr>
          <w:sz w:val="20"/>
          <w:szCs w:val="20"/>
        </w:rPr>
        <w:fldChar w:fldCharType="separate"/>
      </w:r>
      <w:r w:rsidR="00244EA3">
        <w:rPr>
          <w:noProof/>
          <w:sz w:val="20"/>
          <w:szCs w:val="20"/>
        </w:rPr>
        <w:t>3 014</w:t>
      </w:r>
      <w:r>
        <w:rPr>
          <w:sz w:val="20"/>
          <w:szCs w:val="20"/>
        </w:rPr>
        <w:fldChar w:fldCharType="end"/>
      </w:r>
    </w:p>
    <w:p w:rsidR="00207CA2" w:rsidRDefault="00F54D04" w:rsidP="00207CA2">
      <w:pPr>
        <w:pStyle w:val="Header"/>
        <w:rPr>
          <w:sz w:val="20"/>
          <w:szCs w:val="20"/>
        </w:rPr>
      </w:pPr>
      <w:r>
        <w:rPr>
          <w:sz w:val="20"/>
          <w:szCs w:val="20"/>
        </w:rPr>
        <w:t>I.</w:t>
      </w:r>
      <w:r w:rsidR="008F0993">
        <w:rPr>
          <w:sz w:val="20"/>
          <w:szCs w:val="20"/>
        </w:rPr>
        <w:t>Ošiņa</w:t>
      </w:r>
    </w:p>
    <w:p w:rsidR="00207CA2" w:rsidRDefault="00B9030D" w:rsidP="00207CA2">
      <w:pPr>
        <w:pStyle w:val="Header"/>
        <w:rPr>
          <w:sz w:val="20"/>
          <w:szCs w:val="20"/>
        </w:rPr>
      </w:pPr>
      <w:r>
        <w:rPr>
          <w:sz w:val="20"/>
          <w:szCs w:val="20"/>
        </w:rPr>
        <w:fldChar w:fldCharType="begin"/>
      </w:r>
      <w:r w:rsidR="00207CA2">
        <w:rPr>
          <w:sz w:val="20"/>
          <w:szCs w:val="20"/>
        </w:rPr>
        <w:instrText xml:space="preserve"> COMMENTS  \* MERGEFORMAT </w:instrText>
      </w:r>
      <w:r>
        <w:rPr>
          <w:sz w:val="20"/>
          <w:szCs w:val="20"/>
        </w:rPr>
        <w:fldChar w:fldCharType="separate"/>
      </w:r>
      <w:proofErr w:type="spellStart"/>
      <w:r w:rsidR="00207CA2">
        <w:rPr>
          <w:sz w:val="20"/>
          <w:szCs w:val="20"/>
        </w:rPr>
        <w:t>tālr</w:t>
      </w:r>
      <w:proofErr w:type="spellEnd"/>
      <w:r w:rsidR="00207CA2">
        <w:rPr>
          <w:sz w:val="20"/>
          <w:szCs w:val="20"/>
        </w:rPr>
        <w:t>.: 67</w:t>
      </w:r>
      <w:r w:rsidR="00F54D04">
        <w:rPr>
          <w:sz w:val="20"/>
          <w:szCs w:val="20"/>
        </w:rPr>
        <w:t>095</w:t>
      </w:r>
      <w:r w:rsidR="008F0993">
        <w:rPr>
          <w:sz w:val="20"/>
          <w:szCs w:val="20"/>
        </w:rPr>
        <w:t>662</w:t>
      </w:r>
      <w:r w:rsidR="00207CA2">
        <w:rPr>
          <w:sz w:val="20"/>
          <w:szCs w:val="20"/>
        </w:rPr>
        <w:t>, fakss: 67</w:t>
      </w:r>
      <w:r w:rsidR="00F54D04">
        <w:rPr>
          <w:sz w:val="20"/>
          <w:szCs w:val="20"/>
        </w:rPr>
        <w:t>095541</w:t>
      </w:r>
      <w:r w:rsidR="00207CA2">
        <w:rPr>
          <w:sz w:val="20"/>
          <w:szCs w:val="20"/>
        </w:rPr>
        <w:t>,</w:t>
      </w:r>
    </w:p>
    <w:p w:rsidR="00207CA2" w:rsidRDefault="00207CA2" w:rsidP="00207CA2">
      <w:pPr>
        <w:pStyle w:val="Header"/>
        <w:rPr>
          <w:sz w:val="20"/>
          <w:szCs w:val="20"/>
        </w:rPr>
      </w:pPr>
      <w:r>
        <w:rPr>
          <w:sz w:val="20"/>
          <w:szCs w:val="20"/>
        </w:rPr>
        <w:t xml:space="preserve">e-pasta adrese: </w:t>
      </w:r>
      <w:r w:rsidR="00B9030D">
        <w:rPr>
          <w:sz w:val="20"/>
          <w:szCs w:val="20"/>
        </w:rPr>
        <w:fldChar w:fldCharType="end"/>
      </w:r>
      <w:r w:rsidR="00F54D04">
        <w:rPr>
          <w:sz w:val="20"/>
          <w:szCs w:val="20"/>
        </w:rPr>
        <w:t>In</w:t>
      </w:r>
      <w:r w:rsidR="008F0993">
        <w:rPr>
          <w:sz w:val="20"/>
          <w:szCs w:val="20"/>
        </w:rPr>
        <w:t>ga</w:t>
      </w:r>
      <w:r w:rsidR="00CB331E">
        <w:rPr>
          <w:sz w:val="20"/>
          <w:szCs w:val="20"/>
        </w:rPr>
        <w:t>.</w:t>
      </w:r>
      <w:r w:rsidR="008F0993">
        <w:rPr>
          <w:sz w:val="20"/>
          <w:szCs w:val="20"/>
        </w:rPr>
        <w:t>Osina</w:t>
      </w:r>
      <w:r w:rsidR="00CB331E">
        <w:rPr>
          <w:sz w:val="20"/>
          <w:szCs w:val="20"/>
        </w:rPr>
        <w:t>@</w:t>
      </w:r>
      <w:r w:rsidR="00F54D04">
        <w:rPr>
          <w:sz w:val="20"/>
          <w:szCs w:val="20"/>
        </w:rPr>
        <w:t>fm</w:t>
      </w:r>
      <w:r w:rsidR="00CB331E">
        <w:rPr>
          <w:sz w:val="20"/>
          <w:szCs w:val="20"/>
        </w:rPr>
        <w:t>.gov.lv</w:t>
      </w:r>
    </w:p>
    <w:p w:rsidR="00B22998" w:rsidRDefault="00B22998">
      <w:bookmarkStart w:id="0" w:name="_GoBack"/>
      <w:bookmarkEnd w:id="0"/>
    </w:p>
    <w:sectPr w:rsidR="00B22998" w:rsidSect="00FB2F9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57" w:rsidRDefault="006F1E57" w:rsidP="00207CA2">
      <w:r>
        <w:separator/>
      </w:r>
    </w:p>
  </w:endnote>
  <w:endnote w:type="continuationSeparator" w:id="0">
    <w:p w:rsidR="006F1E57" w:rsidRDefault="006F1E57" w:rsidP="002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24" w:rsidRDefault="00663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7" w:rsidRPr="00D06967" w:rsidRDefault="006F1E57" w:rsidP="00B64B5F">
    <w:pPr>
      <w:pStyle w:val="Footer"/>
      <w:rPr>
        <w:sz w:val="20"/>
        <w:szCs w:val="20"/>
      </w:rPr>
    </w:pPr>
    <w:r>
      <w:rPr>
        <w:sz w:val="20"/>
        <w:szCs w:val="20"/>
      </w:rPr>
      <w:t>FM</w:t>
    </w:r>
    <w:r w:rsidRPr="00D06967">
      <w:rPr>
        <w:sz w:val="20"/>
        <w:szCs w:val="20"/>
      </w:rPr>
      <w:t>Anot_</w:t>
    </w:r>
    <w:r w:rsidR="00663A24">
      <w:rPr>
        <w:sz w:val="20"/>
        <w:szCs w:val="20"/>
      </w:rPr>
      <w:t>050912_atli</w:t>
    </w:r>
    <w:r>
      <w:rPr>
        <w:sz w:val="20"/>
        <w:szCs w:val="20"/>
      </w:rPr>
      <w:t xml:space="preserve">dz </w:t>
    </w:r>
    <w:proofErr w:type="spellStart"/>
    <w:r>
      <w:rPr>
        <w:sz w:val="20"/>
        <w:szCs w:val="20"/>
      </w:rPr>
      <w:t>lik</w:t>
    </w:r>
    <w:proofErr w:type="spellEnd"/>
    <w:r>
      <w:rPr>
        <w:sz w:val="20"/>
        <w:szCs w:val="20"/>
      </w:rPr>
      <w:t>; L</w:t>
    </w:r>
    <w:r w:rsidRPr="00D06967">
      <w:rPr>
        <w:sz w:val="20"/>
        <w:szCs w:val="20"/>
      </w:rPr>
      <w:t>iku</w:t>
    </w:r>
    <w:r>
      <w:rPr>
        <w:sz w:val="20"/>
        <w:szCs w:val="20"/>
      </w:rPr>
      <w:t xml:space="preserve">mprojekta „Grozījumi Valsts un pašvaldību institūciju amatpersonu un darbinieku atlīdzības likumā” </w:t>
    </w:r>
    <w:r w:rsidRPr="00D06967">
      <w:rPr>
        <w:sz w:val="20"/>
        <w:szCs w:val="20"/>
      </w:rPr>
      <w:t>anotācija</w:t>
    </w:r>
  </w:p>
  <w:p w:rsidR="006F1E57" w:rsidRDefault="006F1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7" w:rsidRPr="00D06967" w:rsidRDefault="006F1E57" w:rsidP="00F54D04">
    <w:pPr>
      <w:pStyle w:val="Footer"/>
      <w:rPr>
        <w:sz w:val="20"/>
        <w:szCs w:val="20"/>
      </w:rPr>
    </w:pPr>
    <w:r>
      <w:rPr>
        <w:sz w:val="20"/>
        <w:szCs w:val="20"/>
      </w:rPr>
      <w:t>FM</w:t>
    </w:r>
    <w:r w:rsidRPr="00D06967">
      <w:rPr>
        <w:sz w:val="20"/>
        <w:szCs w:val="20"/>
      </w:rPr>
      <w:t>Anot_</w:t>
    </w:r>
    <w:r>
      <w:rPr>
        <w:sz w:val="20"/>
        <w:szCs w:val="20"/>
      </w:rPr>
      <w:t>050912_atl</w:t>
    </w:r>
    <w:r w:rsidR="00663A24">
      <w:rPr>
        <w:sz w:val="20"/>
        <w:szCs w:val="20"/>
      </w:rPr>
      <w:t>i</w:t>
    </w:r>
    <w:r>
      <w:rPr>
        <w:sz w:val="20"/>
        <w:szCs w:val="20"/>
      </w:rPr>
      <w:t xml:space="preserve">dz </w:t>
    </w:r>
    <w:proofErr w:type="spellStart"/>
    <w:r>
      <w:rPr>
        <w:sz w:val="20"/>
        <w:szCs w:val="20"/>
      </w:rPr>
      <w:t>lik</w:t>
    </w:r>
    <w:proofErr w:type="spellEnd"/>
    <w:r>
      <w:rPr>
        <w:sz w:val="20"/>
        <w:szCs w:val="20"/>
      </w:rPr>
      <w:t>; L</w:t>
    </w:r>
    <w:r w:rsidRPr="00D06967">
      <w:rPr>
        <w:sz w:val="20"/>
        <w:szCs w:val="20"/>
      </w:rPr>
      <w:t>iku</w:t>
    </w:r>
    <w:r>
      <w:rPr>
        <w:sz w:val="20"/>
        <w:szCs w:val="20"/>
      </w:rPr>
      <w:t xml:space="preserve">mprojekta „Grozījumi Valsts un pašvaldību institūciju amatpersonu un darbinieku atlīdzības likumā” </w:t>
    </w:r>
    <w:r w:rsidRPr="00D06967">
      <w:rPr>
        <w:sz w:val="20"/>
        <w:szCs w:val="20"/>
      </w:rPr>
      <w:t>anotācija</w:t>
    </w:r>
  </w:p>
  <w:p w:rsidR="006F1E57" w:rsidRPr="00F54D04" w:rsidRDefault="006F1E57" w:rsidP="00F5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57" w:rsidRDefault="006F1E57" w:rsidP="00207CA2">
      <w:r>
        <w:separator/>
      </w:r>
    </w:p>
  </w:footnote>
  <w:footnote w:type="continuationSeparator" w:id="0">
    <w:p w:rsidR="006F1E57" w:rsidRDefault="006F1E57" w:rsidP="0020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7" w:rsidRDefault="006F1E57"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E57" w:rsidRDefault="006F1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7" w:rsidRDefault="006F1E57"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2CE">
      <w:rPr>
        <w:rStyle w:val="PageNumber"/>
        <w:noProof/>
      </w:rPr>
      <w:t>11</w:t>
    </w:r>
    <w:r>
      <w:rPr>
        <w:rStyle w:val="PageNumber"/>
      </w:rPr>
      <w:fldChar w:fldCharType="end"/>
    </w:r>
  </w:p>
  <w:p w:rsidR="006F1E57" w:rsidRDefault="006F1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24" w:rsidRDefault="00663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85E21"/>
    <w:multiLevelType w:val="hybridMultilevel"/>
    <w:tmpl w:val="0CC43F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B5626"/>
    <w:multiLevelType w:val="hybridMultilevel"/>
    <w:tmpl w:val="9C7CD18C"/>
    <w:lvl w:ilvl="0" w:tplc="5350928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44F4FBF"/>
    <w:multiLevelType w:val="hybridMultilevel"/>
    <w:tmpl w:val="931ACE32"/>
    <w:lvl w:ilvl="0" w:tplc="FE2A493C">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3F116C"/>
    <w:multiLevelType w:val="hybridMultilevel"/>
    <w:tmpl w:val="188AB3BC"/>
    <w:lvl w:ilvl="0" w:tplc="04260011">
      <w:start w:val="1"/>
      <w:numFmt w:val="decimal"/>
      <w:lvlText w:val="%1)"/>
      <w:lvlJc w:val="left"/>
      <w:pPr>
        <w:ind w:left="3053" w:hanging="360"/>
      </w:pPr>
      <w:rPr>
        <w:rFonts w:hint="default"/>
      </w:rPr>
    </w:lvl>
    <w:lvl w:ilvl="1" w:tplc="04260019" w:tentative="1">
      <w:start w:val="1"/>
      <w:numFmt w:val="lowerLetter"/>
      <w:lvlText w:val="%2."/>
      <w:lvlJc w:val="left"/>
      <w:pPr>
        <w:ind w:left="3773" w:hanging="360"/>
      </w:pPr>
    </w:lvl>
    <w:lvl w:ilvl="2" w:tplc="0426001B" w:tentative="1">
      <w:start w:val="1"/>
      <w:numFmt w:val="lowerRoman"/>
      <w:lvlText w:val="%3."/>
      <w:lvlJc w:val="right"/>
      <w:pPr>
        <w:ind w:left="4493" w:hanging="180"/>
      </w:pPr>
    </w:lvl>
    <w:lvl w:ilvl="3" w:tplc="0426000F" w:tentative="1">
      <w:start w:val="1"/>
      <w:numFmt w:val="decimal"/>
      <w:lvlText w:val="%4."/>
      <w:lvlJc w:val="left"/>
      <w:pPr>
        <w:ind w:left="5213" w:hanging="360"/>
      </w:pPr>
    </w:lvl>
    <w:lvl w:ilvl="4" w:tplc="04260019" w:tentative="1">
      <w:start w:val="1"/>
      <w:numFmt w:val="lowerLetter"/>
      <w:lvlText w:val="%5."/>
      <w:lvlJc w:val="left"/>
      <w:pPr>
        <w:ind w:left="5933" w:hanging="360"/>
      </w:pPr>
    </w:lvl>
    <w:lvl w:ilvl="5" w:tplc="0426001B" w:tentative="1">
      <w:start w:val="1"/>
      <w:numFmt w:val="lowerRoman"/>
      <w:lvlText w:val="%6."/>
      <w:lvlJc w:val="right"/>
      <w:pPr>
        <w:ind w:left="6653" w:hanging="180"/>
      </w:pPr>
    </w:lvl>
    <w:lvl w:ilvl="6" w:tplc="0426000F" w:tentative="1">
      <w:start w:val="1"/>
      <w:numFmt w:val="decimal"/>
      <w:lvlText w:val="%7."/>
      <w:lvlJc w:val="left"/>
      <w:pPr>
        <w:ind w:left="7373" w:hanging="360"/>
      </w:pPr>
    </w:lvl>
    <w:lvl w:ilvl="7" w:tplc="04260019" w:tentative="1">
      <w:start w:val="1"/>
      <w:numFmt w:val="lowerLetter"/>
      <w:lvlText w:val="%8."/>
      <w:lvlJc w:val="left"/>
      <w:pPr>
        <w:ind w:left="8093" w:hanging="360"/>
      </w:pPr>
    </w:lvl>
    <w:lvl w:ilvl="8" w:tplc="0426001B" w:tentative="1">
      <w:start w:val="1"/>
      <w:numFmt w:val="lowerRoman"/>
      <w:lvlText w:val="%9."/>
      <w:lvlJc w:val="right"/>
      <w:pPr>
        <w:ind w:left="8813" w:hanging="180"/>
      </w:p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850422A"/>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6"/>
  </w:num>
  <w:num w:numId="3">
    <w:abstractNumId w:val="5"/>
  </w:num>
  <w:num w:numId="4">
    <w:abstractNumId w:val="2"/>
  </w:num>
  <w:num w:numId="5">
    <w:abstractNumId w:val="0"/>
  </w:num>
  <w:num w:numId="6">
    <w:abstractNumId w:val="11"/>
  </w:num>
  <w:num w:numId="7">
    <w:abstractNumId w:val="18"/>
  </w:num>
  <w:num w:numId="8">
    <w:abstractNumId w:val="8"/>
  </w:num>
  <w:num w:numId="9">
    <w:abstractNumId w:val="4"/>
  </w:num>
  <w:num w:numId="10">
    <w:abstractNumId w:val="9"/>
  </w:num>
  <w:num w:numId="11">
    <w:abstractNumId w:val="10"/>
  </w:num>
  <w:num w:numId="12">
    <w:abstractNumId w:val="13"/>
  </w:num>
  <w:num w:numId="13">
    <w:abstractNumId w:val="15"/>
  </w:num>
  <w:num w:numId="14">
    <w:abstractNumId w:val="20"/>
  </w:num>
  <w:num w:numId="15">
    <w:abstractNumId w:val="17"/>
  </w:num>
  <w:num w:numId="16">
    <w:abstractNumId w:val="19"/>
  </w:num>
  <w:num w:numId="17">
    <w:abstractNumId w:val="1"/>
  </w:num>
  <w:num w:numId="18">
    <w:abstractNumId w:val="7"/>
  </w:num>
  <w:num w:numId="19">
    <w:abstractNumId w:val="22"/>
  </w:num>
  <w:num w:numId="20">
    <w:abstractNumId w:val="21"/>
  </w:num>
  <w:num w:numId="21">
    <w:abstractNumId w:val="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2"/>
    <w:rsid w:val="00000DAF"/>
    <w:rsid w:val="00004EB3"/>
    <w:rsid w:val="00005555"/>
    <w:rsid w:val="00005A34"/>
    <w:rsid w:val="00006A92"/>
    <w:rsid w:val="00014952"/>
    <w:rsid w:val="000155DD"/>
    <w:rsid w:val="00016113"/>
    <w:rsid w:val="000410C7"/>
    <w:rsid w:val="00042851"/>
    <w:rsid w:val="000443F0"/>
    <w:rsid w:val="00050C84"/>
    <w:rsid w:val="0005294C"/>
    <w:rsid w:val="0005709F"/>
    <w:rsid w:val="000571EC"/>
    <w:rsid w:val="00063B6D"/>
    <w:rsid w:val="00065BBF"/>
    <w:rsid w:val="00071C60"/>
    <w:rsid w:val="00072B07"/>
    <w:rsid w:val="00073C9A"/>
    <w:rsid w:val="000750DF"/>
    <w:rsid w:val="00076270"/>
    <w:rsid w:val="000A2810"/>
    <w:rsid w:val="000B0E3F"/>
    <w:rsid w:val="000B6DAF"/>
    <w:rsid w:val="000D06CC"/>
    <w:rsid w:val="000D0D5E"/>
    <w:rsid w:val="000D1D5A"/>
    <w:rsid w:val="000E10D9"/>
    <w:rsid w:val="000E2746"/>
    <w:rsid w:val="000E27A8"/>
    <w:rsid w:val="000E44EE"/>
    <w:rsid w:val="000E59B5"/>
    <w:rsid w:val="000F13DA"/>
    <w:rsid w:val="000F5F12"/>
    <w:rsid w:val="000F6E45"/>
    <w:rsid w:val="00113E7C"/>
    <w:rsid w:val="00121384"/>
    <w:rsid w:val="00122493"/>
    <w:rsid w:val="0012555B"/>
    <w:rsid w:val="001301D0"/>
    <w:rsid w:val="00135AE4"/>
    <w:rsid w:val="00141776"/>
    <w:rsid w:val="00145E28"/>
    <w:rsid w:val="001551F5"/>
    <w:rsid w:val="00165F47"/>
    <w:rsid w:val="0017241E"/>
    <w:rsid w:val="00172540"/>
    <w:rsid w:val="00176BBA"/>
    <w:rsid w:val="00183351"/>
    <w:rsid w:val="00184577"/>
    <w:rsid w:val="00186F57"/>
    <w:rsid w:val="00190B42"/>
    <w:rsid w:val="00194887"/>
    <w:rsid w:val="00195D2E"/>
    <w:rsid w:val="00196BF3"/>
    <w:rsid w:val="001A0E74"/>
    <w:rsid w:val="001A1524"/>
    <w:rsid w:val="001A2B1A"/>
    <w:rsid w:val="001A6879"/>
    <w:rsid w:val="001B007D"/>
    <w:rsid w:val="001B6A3C"/>
    <w:rsid w:val="001B7421"/>
    <w:rsid w:val="001D3CD0"/>
    <w:rsid w:val="001D54AC"/>
    <w:rsid w:val="001E2439"/>
    <w:rsid w:val="001E34CD"/>
    <w:rsid w:val="001E6AD0"/>
    <w:rsid w:val="001F41D8"/>
    <w:rsid w:val="001F7CCC"/>
    <w:rsid w:val="0020314C"/>
    <w:rsid w:val="00207CA2"/>
    <w:rsid w:val="002167F5"/>
    <w:rsid w:val="00225F6E"/>
    <w:rsid w:val="002328F9"/>
    <w:rsid w:val="00235598"/>
    <w:rsid w:val="002401C2"/>
    <w:rsid w:val="00244EA3"/>
    <w:rsid w:val="00250377"/>
    <w:rsid w:val="00250ECD"/>
    <w:rsid w:val="002514FE"/>
    <w:rsid w:val="00251773"/>
    <w:rsid w:val="00252798"/>
    <w:rsid w:val="002553BF"/>
    <w:rsid w:val="00255539"/>
    <w:rsid w:val="00255B42"/>
    <w:rsid w:val="00261FE9"/>
    <w:rsid w:val="00267B53"/>
    <w:rsid w:val="002758A4"/>
    <w:rsid w:val="00287A93"/>
    <w:rsid w:val="00296381"/>
    <w:rsid w:val="00297267"/>
    <w:rsid w:val="002975C2"/>
    <w:rsid w:val="002A02AE"/>
    <w:rsid w:val="002A32CE"/>
    <w:rsid w:val="002A657A"/>
    <w:rsid w:val="002B55A0"/>
    <w:rsid w:val="002C1E00"/>
    <w:rsid w:val="002C5EB6"/>
    <w:rsid w:val="002D344A"/>
    <w:rsid w:val="002D3AB5"/>
    <w:rsid w:val="002E76BA"/>
    <w:rsid w:val="0030291D"/>
    <w:rsid w:val="00305664"/>
    <w:rsid w:val="00307F13"/>
    <w:rsid w:val="00310590"/>
    <w:rsid w:val="00310B09"/>
    <w:rsid w:val="00323FAA"/>
    <w:rsid w:val="00325A79"/>
    <w:rsid w:val="00326303"/>
    <w:rsid w:val="00332312"/>
    <w:rsid w:val="003365E9"/>
    <w:rsid w:val="003411D3"/>
    <w:rsid w:val="00343184"/>
    <w:rsid w:val="00346792"/>
    <w:rsid w:val="003474B0"/>
    <w:rsid w:val="0035260A"/>
    <w:rsid w:val="00352D9C"/>
    <w:rsid w:val="00354228"/>
    <w:rsid w:val="00364AE1"/>
    <w:rsid w:val="00366280"/>
    <w:rsid w:val="00382892"/>
    <w:rsid w:val="003A77AA"/>
    <w:rsid w:val="003B49B9"/>
    <w:rsid w:val="003B6085"/>
    <w:rsid w:val="003C0091"/>
    <w:rsid w:val="003C3BEA"/>
    <w:rsid w:val="003D6516"/>
    <w:rsid w:val="003D76A5"/>
    <w:rsid w:val="003E38BD"/>
    <w:rsid w:val="003E705D"/>
    <w:rsid w:val="003F4F0E"/>
    <w:rsid w:val="003F6557"/>
    <w:rsid w:val="0040158F"/>
    <w:rsid w:val="00412409"/>
    <w:rsid w:val="004237F0"/>
    <w:rsid w:val="00432363"/>
    <w:rsid w:val="00437B7E"/>
    <w:rsid w:val="00443CE4"/>
    <w:rsid w:val="0044439B"/>
    <w:rsid w:val="004446E2"/>
    <w:rsid w:val="00445E3B"/>
    <w:rsid w:val="00457ACB"/>
    <w:rsid w:val="004764A6"/>
    <w:rsid w:val="00491976"/>
    <w:rsid w:val="004A08C9"/>
    <w:rsid w:val="004A1587"/>
    <w:rsid w:val="004A25EA"/>
    <w:rsid w:val="004B33D0"/>
    <w:rsid w:val="004C3554"/>
    <w:rsid w:val="004D0CBE"/>
    <w:rsid w:val="004D636C"/>
    <w:rsid w:val="004D7920"/>
    <w:rsid w:val="004E2590"/>
    <w:rsid w:val="004E5E1A"/>
    <w:rsid w:val="004F1FE3"/>
    <w:rsid w:val="00520CFD"/>
    <w:rsid w:val="0052161A"/>
    <w:rsid w:val="005243B6"/>
    <w:rsid w:val="005354BC"/>
    <w:rsid w:val="00536E2B"/>
    <w:rsid w:val="00540614"/>
    <w:rsid w:val="005407AC"/>
    <w:rsid w:val="005463A6"/>
    <w:rsid w:val="00556592"/>
    <w:rsid w:val="005671A8"/>
    <w:rsid w:val="005858E5"/>
    <w:rsid w:val="00586449"/>
    <w:rsid w:val="00590EC5"/>
    <w:rsid w:val="00591961"/>
    <w:rsid w:val="00594E0B"/>
    <w:rsid w:val="005A0BEA"/>
    <w:rsid w:val="005A1736"/>
    <w:rsid w:val="005B13CC"/>
    <w:rsid w:val="005B2F0C"/>
    <w:rsid w:val="005B566A"/>
    <w:rsid w:val="005B5F21"/>
    <w:rsid w:val="005C1B5F"/>
    <w:rsid w:val="005D04F3"/>
    <w:rsid w:val="005D4608"/>
    <w:rsid w:val="005D4D62"/>
    <w:rsid w:val="005E3CFE"/>
    <w:rsid w:val="005E5E34"/>
    <w:rsid w:val="005F0DA1"/>
    <w:rsid w:val="005F1F2C"/>
    <w:rsid w:val="005F361E"/>
    <w:rsid w:val="005F3F77"/>
    <w:rsid w:val="005F70F3"/>
    <w:rsid w:val="00612F5B"/>
    <w:rsid w:val="00616668"/>
    <w:rsid w:val="00620E48"/>
    <w:rsid w:val="006227D5"/>
    <w:rsid w:val="0062316F"/>
    <w:rsid w:val="00627212"/>
    <w:rsid w:val="006310A2"/>
    <w:rsid w:val="0063340F"/>
    <w:rsid w:val="00637224"/>
    <w:rsid w:val="00641D62"/>
    <w:rsid w:val="0064234B"/>
    <w:rsid w:val="00663419"/>
    <w:rsid w:val="00663A24"/>
    <w:rsid w:val="00664FFF"/>
    <w:rsid w:val="00665F06"/>
    <w:rsid w:val="006662C3"/>
    <w:rsid w:val="006675A6"/>
    <w:rsid w:val="00667D17"/>
    <w:rsid w:val="00674F46"/>
    <w:rsid w:val="006773B1"/>
    <w:rsid w:val="00680B87"/>
    <w:rsid w:val="006848E3"/>
    <w:rsid w:val="006849DD"/>
    <w:rsid w:val="00686F5A"/>
    <w:rsid w:val="00687624"/>
    <w:rsid w:val="00694C93"/>
    <w:rsid w:val="0069500F"/>
    <w:rsid w:val="006A148E"/>
    <w:rsid w:val="006B032D"/>
    <w:rsid w:val="006C0284"/>
    <w:rsid w:val="006C225F"/>
    <w:rsid w:val="006C4CDB"/>
    <w:rsid w:val="006E4BDC"/>
    <w:rsid w:val="006E6B9C"/>
    <w:rsid w:val="006E6CF8"/>
    <w:rsid w:val="006F1E57"/>
    <w:rsid w:val="006F41E2"/>
    <w:rsid w:val="006F7AFE"/>
    <w:rsid w:val="00706669"/>
    <w:rsid w:val="0070679E"/>
    <w:rsid w:val="0071565F"/>
    <w:rsid w:val="007220FB"/>
    <w:rsid w:val="00725DD6"/>
    <w:rsid w:val="00726E0D"/>
    <w:rsid w:val="00731788"/>
    <w:rsid w:val="007412CF"/>
    <w:rsid w:val="00741F93"/>
    <w:rsid w:val="0074240B"/>
    <w:rsid w:val="0074330C"/>
    <w:rsid w:val="0074732B"/>
    <w:rsid w:val="00751CAD"/>
    <w:rsid w:val="00770765"/>
    <w:rsid w:val="00777D71"/>
    <w:rsid w:val="00787793"/>
    <w:rsid w:val="00795939"/>
    <w:rsid w:val="007B17AB"/>
    <w:rsid w:val="007B2425"/>
    <w:rsid w:val="007B6737"/>
    <w:rsid w:val="007C448F"/>
    <w:rsid w:val="007D6F13"/>
    <w:rsid w:val="007D717B"/>
    <w:rsid w:val="007D757A"/>
    <w:rsid w:val="007E12B2"/>
    <w:rsid w:val="007E66E4"/>
    <w:rsid w:val="007F0ED4"/>
    <w:rsid w:val="007F20A2"/>
    <w:rsid w:val="007F3E8E"/>
    <w:rsid w:val="007F47D1"/>
    <w:rsid w:val="007F64B9"/>
    <w:rsid w:val="007F7934"/>
    <w:rsid w:val="0080439F"/>
    <w:rsid w:val="00811B10"/>
    <w:rsid w:val="008132EE"/>
    <w:rsid w:val="00822197"/>
    <w:rsid w:val="0082527D"/>
    <w:rsid w:val="00825468"/>
    <w:rsid w:val="00830FF9"/>
    <w:rsid w:val="00835FC7"/>
    <w:rsid w:val="008402CA"/>
    <w:rsid w:val="0084382A"/>
    <w:rsid w:val="00846C6D"/>
    <w:rsid w:val="00861097"/>
    <w:rsid w:val="00870F78"/>
    <w:rsid w:val="008715DB"/>
    <w:rsid w:val="00880EEC"/>
    <w:rsid w:val="00883D62"/>
    <w:rsid w:val="008865D9"/>
    <w:rsid w:val="00886D3C"/>
    <w:rsid w:val="0089189A"/>
    <w:rsid w:val="0089609F"/>
    <w:rsid w:val="008A5240"/>
    <w:rsid w:val="008B45A7"/>
    <w:rsid w:val="008C09DB"/>
    <w:rsid w:val="008C0B3D"/>
    <w:rsid w:val="008C2487"/>
    <w:rsid w:val="008C35AA"/>
    <w:rsid w:val="008D07FE"/>
    <w:rsid w:val="008D1092"/>
    <w:rsid w:val="008E1CD0"/>
    <w:rsid w:val="008F0993"/>
    <w:rsid w:val="0090171C"/>
    <w:rsid w:val="00904777"/>
    <w:rsid w:val="00906ED6"/>
    <w:rsid w:val="00914ACF"/>
    <w:rsid w:val="009222A3"/>
    <w:rsid w:val="00924988"/>
    <w:rsid w:val="00926B49"/>
    <w:rsid w:val="00927D55"/>
    <w:rsid w:val="00930906"/>
    <w:rsid w:val="00931683"/>
    <w:rsid w:val="00943A52"/>
    <w:rsid w:val="00945CC8"/>
    <w:rsid w:val="00954FE5"/>
    <w:rsid w:val="00956BDB"/>
    <w:rsid w:val="00963F30"/>
    <w:rsid w:val="0096581B"/>
    <w:rsid w:val="00966A98"/>
    <w:rsid w:val="009714F4"/>
    <w:rsid w:val="00990702"/>
    <w:rsid w:val="009909DA"/>
    <w:rsid w:val="00997420"/>
    <w:rsid w:val="009A0535"/>
    <w:rsid w:val="009A2270"/>
    <w:rsid w:val="009A337C"/>
    <w:rsid w:val="009B14F8"/>
    <w:rsid w:val="009B6E5F"/>
    <w:rsid w:val="009C3275"/>
    <w:rsid w:val="009C3580"/>
    <w:rsid w:val="009C56A4"/>
    <w:rsid w:val="009C7CE8"/>
    <w:rsid w:val="009D1794"/>
    <w:rsid w:val="009D49DA"/>
    <w:rsid w:val="009E181A"/>
    <w:rsid w:val="009E3A74"/>
    <w:rsid w:val="009E4D78"/>
    <w:rsid w:val="009F1F3F"/>
    <w:rsid w:val="00A037DC"/>
    <w:rsid w:val="00A119B5"/>
    <w:rsid w:val="00A12E91"/>
    <w:rsid w:val="00A17B60"/>
    <w:rsid w:val="00A2084D"/>
    <w:rsid w:val="00A25324"/>
    <w:rsid w:val="00A35C56"/>
    <w:rsid w:val="00A41591"/>
    <w:rsid w:val="00A44684"/>
    <w:rsid w:val="00A469DD"/>
    <w:rsid w:val="00A51F85"/>
    <w:rsid w:val="00A53343"/>
    <w:rsid w:val="00A77C45"/>
    <w:rsid w:val="00A90D7E"/>
    <w:rsid w:val="00A93CF8"/>
    <w:rsid w:val="00A96E79"/>
    <w:rsid w:val="00AA1683"/>
    <w:rsid w:val="00AA5DCB"/>
    <w:rsid w:val="00AB39DE"/>
    <w:rsid w:val="00AB785E"/>
    <w:rsid w:val="00AC32C6"/>
    <w:rsid w:val="00AC32F6"/>
    <w:rsid w:val="00AC347D"/>
    <w:rsid w:val="00AD77C6"/>
    <w:rsid w:val="00AE0176"/>
    <w:rsid w:val="00AE3A74"/>
    <w:rsid w:val="00AE77BE"/>
    <w:rsid w:val="00AE7CD2"/>
    <w:rsid w:val="00AF23E2"/>
    <w:rsid w:val="00AF5463"/>
    <w:rsid w:val="00B01C90"/>
    <w:rsid w:val="00B10763"/>
    <w:rsid w:val="00B13304"/>
    <w:rsid w:val="00B16AAE"/>
    <w:rsid w:val="00B20A4A"/>
    <w:rsid w:val="00B22998"/>
    <w:rsid w:val="00B256DC"/>
    <w:rsid w:val="00B31FB3"/>
    <w:rsid w:val="00B34B85"/>
    <w:rsid w:val="00B449A0"/>
    <w:rsid w:val="00B45339"/>
    <w:rsid w:val="00B47015"/>
    <w:rsid w:val="00B50C75"/>
    <w:rsid w:val="00B51074"/>
    <w:rsid w:val="00B55550"/>
    <w:rsid w:val="00B55AC7"/>
    <w:rsid w:val="00B5749C"/>
    <w:rsid w:val="00B63B52"/>
    <w:rsid w:val="00B64B5F"/>
    <w:rsid w:val="00B66F0C"/>
    <w:rsid w:val="00B710C2"/>
    <w:rsid w:val="00B76108"/>
    <w:rsid w:val="00B84D46"/>
    <w:rsid w:val="00B85220"/>
    <w:rsid w:val="00B87DCB"/>
    <w:rsid w:val="00B9030D"/>
    <w:rsid w:val="00B91BDF"/>
    <w:rsid w:val="00B966E6"/>
    <w:rsid w:val="00B97C23"/>
    <w:rsid w:val="00BA2D87"/>
    <w:rsid w:val="00BA3377"/>
    <w:rsid w:val="00BA6BF1"/>
    <w:rsid w:val="00BB285D"/>
    <w:rsid w:val="00BB56C0"/>
    <w:rsid w:val="00BB70CD"/>
    <w:rsid w:val="00BC44B7"/>
    <w:rsid w:val="00BC5470"/>
    <w:rsid w:val="00BD08EF"/>
    <w:rsid w:val="00BE046B"/>
    <w:rsid w:val="00BE2BED"/>
    <w:rsid w:val="00BE4404"/>
    <w:rsid w:val="00BE515F"/>
    <w:rsid w:val="00BE74EF"/>
    <w:rsid w:val="00BF3FC6"/>
    <w:rsid w:val="00C009AE"/>
    <w:rsid w:val="00C04C0D"/>
    <w:rsid w:val="00C076DD"/>
    <w:rsid w:val="00C10C5A"/>
    <w:rsid w:val="00C11404"/>
    <w:rsid w:val="00C16234"/>
    <w:rsid w:val="00C21066"/>
    <w:rsid w:val="00C22F40"/>
    <w:rsid w:val="00C33E10"/>
    <w:rsid w:val="00C36F1F"/>
    <w:rsid w:val="00C41A76"/>
    <w:rsid w:val="00C51848"/>
    <w:rsid w:val="00C54333"/>
    <w:rsid w:val="00C631BB"/>
    <w:rsid w:val="00C63C6F"/>
    <w:rsid w:val="00C66ECD"/>
    <w:rsid w:val="00C7106E"/>
    <w:rsid w:val="00C71705"/>
    <w:rsid w:val="00C742FB"/>
    <w:rsid w:val="00C811CC"/>
    <w:rsid w:val="00C9357C"/>
    <w:rsid w:val="00CA2DD7"/>
    <w:rsid w:val="00CA6B69"/>
    <w:rsid w:val="00CB331E"/>
    <w:rsid w:val="00CB6623"/>
    <w:rsid w:val="00CC0BF6"/>
    <w:rsid w:val="00CC14F0"/>
    <w:rsid w:val="00CC2F56"/>
    <w:rsid w:val="00CD542B"/>
    <w:rsid w:val="00CD795B"/>
    <w:rsid w:val="00CE34B7"/>
    <w:rsid w:val="00CE743F"/>
    <w:rsid w:val="00CF38F8"/>
    <w:rsid w:val="00CF4F13"/>
    <w:rsid w:val="00CF6BD5"/>
    <w:rsid w:val="00CF6E74"/>
    <w:rsid w:val="00D04C75"/>
    <w:rsid w:val="00D12F8E"/>
    <w:rsid w:val="00D1345D"/>
    <w:rsid w:val="00D14C18"/>
    <w:rsid w:val="00D167DC"/>
    <w:rsid w:val="00D21A59"/>
    <w:rsid w:val="00D230B1"/>
    <w:rsid w:val="00D32B34"/>
    <w:rsid w:val="00D56426"/>
    <w:rsid w:val="00D572B7"/>
    <w:rsid w:val="00D62295"/>
    <w:rsid w:val="00D649BE"/>
    <w:rsid w:val="00D672F7"/>
    <w:rsid w:val="00D679EB"/>
    <w:rsid w:val="00D77268"/>
    <w:rsid w:val="00D82DBF"/>
    <w:rsid w:val="00D903AA"/>
    <w:rsid w:val="00D93EE6"/>
    <w:rsid w:val="00D94A9D"/>
    <w:rsid w:val="00DA6FE6"/>
    <w:rsid w:val="00DA7660"/>
    <w:rsid w:val="00DB25A2"/>
    <w:rsid w:val="00DB3B4A"/>
    <w:rsid w:val="00DB52AA"/>
    <w:rsid w:val="00DC1FEC"/>
    <w:rsid w:val="00DC68DC"/>
    <w:rsid w:val="00DE6296"/>
    <w:rsid w:val="00DF00E5"/>
    <w:rsid w:val="00DF0F58"/>
    <w:rsid w:val="00E0496E"/>
    <w:rsid w:val="00E10327"/>
    <w:rsid w:val="00E16999"/>
    <w:rsid w:val="00E23900"/>
    <w:rsid w:val="00E36D6C"/>
    <w:rsid w:val="00E37D4E"/>
    <w:rsid w:val="00E41521"/>
    <w:rsid w:val="00E43071"/>
    <w:rsid w:val="00E46427"/>
    <w:rsid w:val="00E565A9"/>
    <w:rsid w:val="00E571F4"/>
    <w:rsid w:val="00E6245C"/>
    <w:rsid w:val="00E729A1"/>
    <w:rsid w:val="00E75082"/>
    <w:rsid w:val="00E76EE7"/>
    <w:rsid w:val="00E84CA3"/>
    <w:rsid w:val="00E902D1"/>
    <w:rsid w:val="00EA0C52"/>
    <w:rsid w:val="00EA2B42"/>
    <w:rsid w:val="00EA4729"/>
    <w:rsid w:val="00EB5E1A"/>
    <w:rsid w:val="00EC76A2"/>
    <w:rsid w:val="00ED0F24"/>
    <w:rsid w:val="00ED27FB"/>
    <w:rsid w:val="00ED48C3"/>
    <w:rsid w:val="00EE4405"/>
    <w:rsid w:val="00EF3603"/>
    <w:rsid w:val="00EF57C6"/>
    <w:rsid w:val="00EF6BD5"/>
    <w:rsid w:val="00EF70BC"/>
    <w:rsid w:val="00F05160"/>
    <w:rsid w:val="00F077C7"/>
    <w:rsid w:val="00F25A2B"/>
    <w:rsid w:val="00F35753"/>
    <w:rsid w:val="00F37256"/>
    <w:rsid w:val="00F37CD2"/>
    <w:rsid w:val="00F4046F"/>
    <w:rsid w:val="00F4070A"/>
    <w:rsid w:val="00F412E5"/>
    <w:rsid w:val="00F54D04"/>
    <w:rsid w:val="00F55057"/>
    <w:rsid w:val="00F55CA4"/>
    <w:rsid w:val="00F56E78"/>
    <w:rsid w:val="00F664DC"/>
    <w:rsid w:val="00F7332F"/>
    <w:rsid w:val="00F7750F"/>
    <w:rsid w:val="00F850EB"/>
    <w:rsid w:val="00F861B3"/>
    <w:rsid w:val="00F9184A"/>
    <w:rsid w:val="00F9298B"/>
    <w:rsid w:val="00F9363E"/>
    <w:rsid w:val="00F9415F"/>
    <w:rsid w:val="00F94A09"/>
    <w:rsid w:val="00FA0908"/>
    <w:rsid w:val="00FA1820"/>
    <w:rsid w:val="00FA18D4"/>
    <w:rsid w:val="00FA46A9"/>
    <w:rsid w:val="00FA7BFE"/>
    <w:rsid w:val="00FB2F9B"/>
    <w:rsid w:val="00FC1544"/>
    <w:rsid w:val="00FC2734"/>
    <w:rsid w:val="00FE0DA0"/>
    <w:rsid w:val="00FE16CD"/>
    <w:rsid w:val="00FE1B86"/>
    <w:rsid w:val="00FE7707"/>
    <w:rsid w:val="00FE7FCA"/>
    <w:rsid w:val="00FF1D20"/>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367">
      <w:bodyDiv w:val="1"/>
      <w:marLeft w:val="0"/>
      <w:marRight w:val="0"/>
      <w:marTop w:val="0"/>
      <w:marBottom w:val="0"/>
      <w:divBdr>
        <w:top w:val="none" w:sz="0" w:space="0" w:color="auto"/>
        <w:left w:val="none" w:sz="0" w:space="0" w:color="auto"/>
        <w:bottom w:val="none" w:sz="0" w:space="0" w:color="auto"/>
        <w:right w:val="none" w:sz="0" w:space="0" w:color="auto"/>
      </w:divBdr>
      <w:divsChild>
        <w:div w:id="821504453">
          <w:marLeft w:val="0"/>
          <w:marRight w:val="0"/>
          <w:marTop w:val="0"/>
          <w:marBottom w:val="0"/>
          <w:divBdr>
            <w:top w:val="none" w:sz="0" w:space="0" w:color="auto"/>
            <w:left w:val="none" w:sz="0" w:space="0" w:color="auto"/>
            <w:bottom w:val="none" w:sz="0" w:space="0" w:color="auto"/>
            <w:right w:val="none" w:sz="0" w:space="0" w:color="auto"/>
          </w:divBdr>
        </w:div>
        <w:div w:id="268467712">
          <w:marLeft w:val="0"/>
          <w:marRight w:val="0"/>
          <w:marTop w:val="0"/>
          <w:marBottom w:val="0"/>
          <w:divBdr>
            <w:top w:val="none" w:sz="0" w:space="0" w:color="auto"/>
            <w:left w:val="none" w:sz="0" w:space="0" w:color="auto"/>
            <w:bottom w:val="none" w:sz="0" w:space="0" w:color="auto"/>
            <w:right w:val="none" w:sz="0" w:space="0" w:color="auto"/>
          </w:divBdr>
        </w:div>
      </w:divsChild>
    </w:div>
    <w:div w:id="824273812">
      <w:bodyDiv w:val="1"/>
      <w:marLeft w:val="45"/>
      <w:marRight w:val="45"/>
      <w:marTop w:val="90"/>
      <w:marBottom w:val="90"/>
      <w:divBdr>
        <w:top w:val="none" w:sz="0" w:space="0" w:color="auto"/>
        <w:left w:val="none" w:sz="0" w:space="0" w:color="auto"/>
        <w:bottom w:val="none" w:sz="0" w:space="0" w:color="auto"/>
        <w:right w:val="none" w:sz="0" w:space="0" w:color="auto"/>
      </w:divBdr>
      <w:divsChild>
        <w:div w:id="2107730493">
          <w:marLeft w:val="0"/>
          <w:marRight w:val="0"/>
          <w:marTop w:val="480"/>
          <w:marBottom w:val="240"/>
          <w:divBdr>
            <w:top w:val="none" w:sz="0" w:space="0" w:color="auto"/>
            <w:left w:val="none" w:sz="0" w:space="0" w:color="auto"/>
            <w:bottom w:val="none" w:sz="0" w:space="0" w:color="auto"/>
            <w:right w:val="none" w:sz="0" w:space="0" w:color="auto"/>
          </w:divBdr>
        </w:div>
        <w:div w:id="13601561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E964-5AB7-4831-88B5-06DC3916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3000</Words>
  <Characters>22028</Characters>
  <Application>Microsoft Office Word</Application>
  <DocSecurity>0</DocSecurity>
  <Lines>1573</Lines>
  <Paragraphs>129</Paragraphs>
  <ScaleCrop>false</ScaleCrop>
  <HeadingPairs>
    <vt:vector size="2" baseType="variant">
      <vt:variant>
        <vt:lpstr>Title</vt:lpstr>
      </vt:variant>
      <vt:variant>
        <vt:i4>1</vt:i4>
      </vt:variant>
    </vt:vector>
  </HeadingPairs>
  <TitlesOfParts>
    <vt:vector size="1" baseType="lpstr">
      <vt:lpstr>Likumprojekts "Grozījums Valsts un pašvaldību instuitūciju amatpersonu un darbinieku atlīdzības likumā"</vt:lpstr>
    </vt:vector>
  </TitlesOfParts>
  <Manager>Juridiskais departaments</Manager>
  <Company>AiM</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Valsts un pašvaldību instuitūciju amatpersonu un darbinieku atlīdzības likumā"</dc:title>
  <dc:subject>anotācija</dc:subject>
  <dc:creator>I.Osina</dc:creator>
  <dc:description>Inga.Osina@fm.gov.lv, 
tālr. 67095662</dc:description>
  <cp:lastModifiedBy>changeme</cp:lastModifiedBy>
  <cp:revision>13</cp:revision>
  <cp:lastPrinted>2012-09-05T09:42:00Z</cp:lastPrinted>
  <dcterms:created xsi:type="dcterms:W3CDTF">2012-09-05T07:50:00Z</dcterms:created>
  <dcterms:modified xsi:type="dcterms:W3CDTF">2012-09-13T10:18:00Z</dcterms:modified>
</cp:coreProperties>
</file>